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B2" w:rsidRPr="005F7EB2" w:rsidRDefault="005F7EB2" w:rsidP="005F7EB2">
      <w:pPr>
        <w:shd w:val="clear" w:color="auto" w:fill="F1F3F5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5F7EB2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Охрана труда в 2025 году: ключевые изменения</w:t>
      </w:r>
    </w:p>
    <w:p w:rsidR="005F7EB2" w:rsidRDefault="005F7EB2" w:rsidP="005F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665"/>
        <w:gridCol w:w="4905"/>
      </w:tblGrid>
      <w:tr w:rsidR="00BD5678" w:rsidTr="00BD5678">
        <w:tc>
          <w:tcPr>
            <w:tcW w:w="10080" w:type="dxa"/>
            <w:gridSpan w:val="3"/>
            <w:tcBorders>
              <w:bottom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3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Изменения</w:t>
            </w:r>
            <w:r>
              <w:rPr>
                <w:color w:val="22272F"/>
                <w:sz w:val="13"/>
                <w:szCs w:val="13"/>
              </w:rPr>
              <w:t> в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законодательстве</w:t>
            </w:r>
            <w:r>
              <w:rPr>
                <w:color w:val="22272F"/>
                <w:sz w:val="13"/>
                <w:szCs w:val="13"/>
              </w:rPr>
              <w:t> по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охране</w:t>
            </w:r>
            <w:r>
              <w:rPr>
                <w:color w:val="22272F"/>
                <w:sz w:val="13"/>
                <w:szCs w:val="1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труда</w:t>
            </w:r>
            <w:r>
              <w:rPr>
                <w:color w:val="22272F"/>
                <w:sz w:val="13"/>
                <w:szCs w:val="13"/>
              </w:rPr>
              <w:t> с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1</w:t>
            </w:r>
            <w:r>
              <w:rPr>
                <w:color w:val="22272F"/>
                <w:sz w:val="13"/>
                <w:szCs w:val="1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января</w:t>
            </w:r>
            <w:r>
              <w:rPr>
                <w:color w:val="22272F"/>
                <w:sz w:val="13"/>
                <w:szCs w:val="1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2025</w:t>
            </w:r>
            <w:r>
              <w:rPr>
                <w:color w:val="22272F"/>
                <w:sz w:val="13"/>
                <w:szCs w:val="13"/>
              </w:rPr>
              <w:t> г.</w:t>
            </w:r>
          </w:p>
          <w:p w:rsidR="00BD5678" w:rsidRDefault="00BD5678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 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1. 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 xml:space="preserve">С 1 января работодатели обязаны осуществлять обеспечение работников </w:t>
            </w:r>
            <w:proofErr w:type="gramStart"/>
            <w:r>
              <w:rPr>
                <w:color w:val="22272F"/>
                <w:sz w:val="13"/>
                <w:szCs w:val="13"/>
              </w:rPr>
              <w:t>СИЗ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 и смывающими средствами на основании </w:t>
            </w:r>
            <w:hyperlink r:id="rId5" w:anchor="/multilink/482312620/paragraph/3/number/0" w:history="1">
              <w:r>
                <w:rPr>
                  <w:rStyle w:val="a4"/>
                  <w:color w:val="3272C0"/>
                  <w:sz w:val="13"/>
                  <w:szCs w:val="13"/>
                </w:rPr>
                <w:t>Единых типовых норм</w:t>
              </w:r>
            </w:hyperlink>
            <w:r>
              <w:rPr>
                <w:color w:val="22272F"/>
                <w:sz w:val="13"/>
                <w:szCs w:val="13"/>
              </w:rPr>
              <w:t>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6" w:anchor="/document/403326464/entry/10443" w:history="1">
              <w:r>
                <w:rPr>
                  <w:rStyle w:val="a4"/>
                  <w:color w:val="3272C0"/>
                  <w:sz w:val="13"/>
                  <w:szCs w:val="13"/>
                </w:rPr>
                <w:t>Приказ</w:t>
              </w:r>
            </w:hyperlink>
            <w:r>
              <w:rPr>
                <w:color w:val="22272F"/>
                <w:sz w:val="13"/>
                <w:szCs w:val="13"/>
              </w:rPr>
              <w:t> Министерства труда и социальной защиты РФ от 29 октября 2021 г. N 766н "Об утверждении Правил обеспечения работников средствами индивидуальной защиты и смывающими средствами"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2. 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7" w:anchor="/document/55171222/entry/1000" w:history="1">
              <w:r>
                <w:rPr>
                  <w:rStyle w:val="a4"/>
                  <w:color w:val="3272C0"/>
                  <w:sz w:val="13"/>
                  <w:szCs w:val="13"/>
                </w:rPr>
                <w:t>Типовые нормы</w:t>
              </w:r>
            </w:hyperlink>
            <w:r>
              <w:rPr>
                <w:color w:val="22272F"/>
                <w:sz w:val="13"/>
                <w:szCs w:val="13"/>
              </w:rPr>
              <w:t> бесплатной выдачи работникам смывающих и (или) обезвреживающих средств с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1</w:t>
            </w:r>
            <w:r>
              <w:rPr>
                <w:color w:val="22272F"/>
                <w:sz w:val="13"/>
                <w:szCs w:val="1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января</w:t>
            </w:r>
            <w:r>
              <w:rPr>
                <w:color w:val="22272F"/>
                <w:sz w:val="13"/>
                <w:szCs w:val="13"/>
              </w:rPr>
              <w:t>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2025</w:t>
            </w:r>
            <w:r>
              <w:rPr>
                <w:color w:val="22272F"/>
                <w:sz w:val="13"/>
                <w:szCs w:val="13"/>
              </w:rPr>
              <w:t> года не действуют.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8" w:anchor="/document/409193116/entry/1004" w:history="1">
              <w:r>
                <w:rPr>
                  <w:rStyle w:val="a4"/>
                  <w:color w:val="3272C0"/>
                  <w:sz w:val="13"/>
                  <w:szCs w:val="13"/>
                </w:rPr>
                <w:t>Постановление</w:t>
              </w:r>
            </w:hyperlink>
            <w:r>
              <w:rPr>
                <w:color w:val="22272F"/>
                <w:sz w:val="13"/>
                <w:szCs w:val="13"/>
              </w:rPr>
              <w:t> Правительства Российской Федерации от 12 июня 2024 г. N 792 "О внесении изменений в некоторые акты Правительства Российской Федерации"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3. 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9" w:anchor="/document/407723058/entry/4000" w:history="1">
              <w:r>
                <w:rPr>
                  <w:rStyle w:val="a4"/>
                  <w:color w:val="3272C0"/>
                  <w:sz w:val="13"/>
                  <w:szCs w:val="13"/>
                </w:rPr>
                <w:t>Годовой отчет N 1-Т (условия труда)</w:t>
              </w:r>
            </w:hyperlink>
            <w:r>
              <w:rPr>
                <w:color w:val="22272F"/>
                <w:sz w:val="13"/>
                <w:szCs w:val="13"/>
              </w:rPr>
              <w:t> "Сведения о состоянии условий труда и компенсациях за работу с вредными и (или) опасными условиями труда" по итогам 2024 года сдается в обновленном шаблоне. Данный отчет сдают организации всех форм собственности, основной вид деятельности которых относится по ОКВЭД 2 к </w:t>
            </w:r>
            <w:hyperlink r:id="rId10" w:anchor="/document/70650726/entry/100" w:history="1">
              <w:r>
                <w:rPr>
                  <w:rStyle w:val="a4"/>
                  <w:color w:val="3272C0"/>
                  <w:sz w:val="13"/>
                  <w:szCs w:val="13"/>
                </w:rPr>
                <w:t>разделам</w:t>
              </w:r>
              <w:proofErr w:type="gramStart"/>
              <w:r>
                <w:rPr>
                  <w:rStyle w:val="a4"/>
                  <w:color w:val="3272C0"/>
                  <w:sz w:val="13"/>
                  <w:szCs w:val="13"/>
                </w:rPr>
                <w:t xml:space="preserve"> А</w:t>
              </w:r>
              <w:proofErr w:type="gramEnd"/>
            </w:hyperlink>
            <w:r>
              <w:rPr>
                <w:color w:val="22272F"/>
                <w:sz w:val="13"/>
                <w:szCs w:val="13"/>
              </w:rPr>
              <w:t>, </w:t>
            </w:r>
            <w:hyperlink r:id="rId11" w:anchor="/document/70650726/entry/200" w:history="1">
              <w:r>
                <w:rPr>
                  <w:rStyle w:val="a4"/>
                  <w:color w:val="3272C0"/>
                  <w:sz w:val="13"/>
                  <w:szCs w:val="13"/>
                </w:rPr>
                <w:t>В</w:t>
              </w:r>
            </w:hyperlink>
            <w:r>
              <w:rPr>
                <w:color w:val="22272F"/>
                <w:sz w:val="13"/>
                <w:szCs w:val="13"/>
              </w:rPr>
              <w:t>, </w:t>
            </w:r>
            <w:hyperlink r:id="rId12" w:anchor="/document/70650726/entry/300" w:history="1">
              <w:r>
                <w:rPr>
                  <w:rStyle w:val="a4"/>
                  <w:color w:val="3272C0"/>
                  <w:sz w:val="13"/>
                  <w:szCs w:val="13"/>
                </w:rPr>
                <w:t>С</w:t>
              </w:r>
            </w:hyperlink>
            <w:r>
              <w:rPr>
                <w:color w:val="22272F"/>
                <w:sz w:val="13"/>
                <w:szCs w:val="13"/>
              </w:rPr>
              <w:t>, </w:t>
            </w:r>
            <w:hyperlink r:id="rId13" w:anchor="/document/70650726/entry/400" w:history="1">
              <w:r>
                <w:rPr>
                  <w:rStyle w:val="a4"/>
                  <w:color w:val="3272C0"/>
                  <w:sz w:val="13"/>
                  <w:szCs w:val="13"/>
                </w:rPr>
                <w:t>D</w:t>
              </w:r>
            </w:hyperlink>
            <w:r>
              <w:rPr>
                <w:color w:val="22272F"/>
                <w:sz w:val="13"/>
                <w:szCs w:val="13"/>
              </w:rPr>
              <w:t>, </w:t>
            </w:r>
            <w:hyperlink r:id="rId14" w:anchor="/document/70650726/entry/500" w:history="1">
              <w:r>
                <w:rPr>
                  <w:rStyle w:val="a4"/>
                  <w:color w:val="3272C0"/>
                  <w:sz w:val="13"/>
                  <w:szCs w:val="13"/>
                </w:rPr>
                <w:t>E</w:t>
              </w:r>
            </w:hyperlink>
            <w:r>
              <w:rPr>
                <w:color w:val="22272F"/>
                <w:sz w:val="13"/>
                <w:szCs w:val="13"/>
              </w:rPr>
              <w:t>, </w:t>
            </w:r>
            <w:hyperlink r:id="rId15" w:anchor="/document/70650726/entry/600" w:history="1">
              <w:r>
                <w:rPr>
                  <w:rStyle w:val="a4"/>
                  <w:color w:val="3272C0"/>
                  <w:sz w:val="13"/>
                  <w:szCs w:val="13"/>
                </w:rPr>
                <w:t>F</w:t>
              </w:r>
            </w:hyperlink>
            <w:r>
              <w:rPr>
                <w:color w:val="22272F"/>
                <w:sz w:val="13"/>
                <w:szCs w:val="13"/>
              </w:rPr>
              <w:t>, </w:t>
            </w:r>
            <w:hyperlink r:id="rId16" w:anchor="/document/70650726/entry/800" w:history="1">
              <w:r>
                <w:rPr>
                  <w:rStyle w:val="a4"/>
                  <w:color w:val="3272C0"/>
                  <w:sz w:val="13"/>
                  <w:szCs w:val="13"/>
                </w:rPr>
                <w:t>H</w:t>
              </w:r>
            </w:hyperlink>
            <w:r>
              <w:rPr>
                <w:color w:val="22272F"/>
                <w:sz w:val="13"/>
                <w:szCs w:val="13"/>
              </w:rPr>
              <w:t>, </w:t>
            </w:r>
            <w:hyperlink r:id="rId17" w:anchor="/document/70650726/entry/1000" w:history="1">
              <w:r>
                <w:rPr>
                  <w:rStyle w:val="a4"/>
                  <w:color w:val="3272C0"/>
                  <w:sz w:val="13"/>
                  <w:szCs w:val="13"/>
                </w:rPr>
                <w:t>J</w:t>
              </w:r>
            </w:hyperlink>
            <w:r>
              <w:rPr>
                <w:color w:val="22272F"/>
                <w:sz w:val="13"/>
                <w:szCs w:val="13"/>
              </w:rPr>
              <w:t>. При наличии обособленных подразделений данные предоставляются как по каждому обособленному подразделению, действующему на территории РФ, так и по юридическому лицу. Срок представления отчета за 2024 год - с 9 по 21 января 2025 г.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18" w:anchor="/document/410385147/entry/5000" w:history="1">
              <w:proofErr w:type="gramStart"/>
              <w:r>
                <w:rPr>
                  <w:rStyle w:val="a4"/>
                  <w:color w:val="3272C0"/>
                  <w:sz w:val="13"/>
                  <w:szCs w:val="13"/>
                </w:rPr>
                <w:t>Приказ</w:t>
              </w:r>
            </w:hyperlink>
            <w:r>
              <w:rPr>
                <w:color w:val="22272F"/>
                <w:sz w:val="13"/>
                <w:szCs w:val="13"/>
              </w:rPr>
              <w:t> Федеральной службы государственной статистики от 31 июля 2024 г. N 338 "Об утверждении форм федерального статистического наблюдения для организации федерального статистического наблюдения за численностью и оплатой труда работников организаций, кадров государственной гражданской и муниципальной службы, условиями труда, движением работников, занятостью населения, численностью и потребностью организаций в работниках по профессиональным группам, численностью и заработной платой работников по категориям в организациях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 социальной сферы и науки"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4.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19" w:anchor="/document/12125268/entry/10531" w:history="1">
              <w:r>
                <w:rPr>
                  <w:rStyle w:val="a4"/>
                  <w:color w:val="3272C0"/>
                  <w:sz w:val="13"/>
                  <w:szCs w:val="13"/>
                </w:rPr>
                <w:t>Глава 53.1</w:t>
              </w:r>
            </w:hyperlink>
            <w:r>
              <w:rPr>
                <w:color w:val="22272F"/>
                <w:sz w:val="13"/>
                <w:szCs w:val="13"/>
              </w:rPr>
              <w:t> ТК РФ об особенностях регулирования труда работников, направляемых временно работодателем к другим физическим или юридическим лицам по договору о предоставлении персонала, дополнена новыми статьями. Часть поправок касается охраны труда. В частности, предусмотрено, что условия труда принимаемых работников должны быть не хуже, чем условия труда работников принимающей стороны. В договорах о предоставлении персонала могут быть оговорены обязанности принимающей стороны по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обеспечению</w:t>
            </w:r>
            <w:r>
              <w:rPr>
                <w:color w:val="22272F"/>
                <w:sz w:val="13"/>
                <w:szCs w:val="13"/>
              </w:rPr>
              <w:t> работников оборудованием, инструментами, средствами индивидуальной защиты; обучению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безопасным</w:t>
            </w:r>
            <w:r>
              <w:rPr>
                <w:color w:val="22272F"/>
                <w:sz w:val="13"/>
                <w:szCs w:val="13"/>
              </w:rPr>
              <w:t> методам и приемам выполнения работ. Компенсации за работу с вредными и (или) опасными условиями </w:t>
            </w:r>
            <w:r>
              <w:rPr>
                <w:rStyle w:val="a5"/>
                <w:i w:val="0"/>
                <w:iCs w:val="0"/>
                <w:color w:val="22272F"/>
                <w:sz w:val="13"/>
                <w:szCs w:val="13"/>
              </w:rPr>
              <w:t>труда</w:t>
            </w:r>
            <w:r>
              <w:rPr>
                <w:color w:val="22272F"/>
                <w:sz w:val="13"/>
                <w:szCs w:val="13"/>
              </w:rPr>
              <w:t xml:space="preserve"> устанавливаются на основании результатов СОУТ. Не допускается направлять персонал с целью замены работников принимающей стороны, которые участвуют в забастовке или которые отказались от выполнения работы в определенных законодательством случаях. </w:t>
            </w:r>
            <w:proofErr w:type="gramStart"/>
            <w:r>
              <w:rPr>
                <w:color w:val="22272F"/>
                <w:sz w:val="13"/>
                <w:szCs w:val="13"/>
              </w:rPr>
              <w:t>Частным агентствам занятости не разрешается заключать договоры о предоставлении персонала для выполнения работ на ОПО I и II классов опасности, а также на рабочих местах с вредным условиями 3 и 4 степени или опасными условиями.</w:t>
            </w:r>
            <w:proofErr w:type="gramEnd"/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20" w:anchor="/document/411209201/entry/0" w:history="1">
              <w:r>
                <w:rPr>
                  <w:rStyle w:val="a4"/>
                  <w:color w:val="3272C0"/>
                  <w:sz w:val="13"/>
                  <w:szCs w:val="13"/>
                </w:rPr>
                <w:t>Федеральный закон</w:t>
              </w:r>
            </w:hyperlink>
            <w:r>
              <w:rPr>
                <w:color w:val="22272F"/>
                <w:sz w:val="13"/>
                <w:szCs w:val="13"/>
              </w:rPr>
              <w:t> от 26 декабря 2024 г. N 498-ФЗ "О внесении изменений в Трудовой кодекс Российской Федерации"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5. 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 xml:space="preserve">Вступают в силу новые правила финансирования мер по сокращению производственного травматизма и профзаболеваний, а также санаторно-курортного лечения работников, занятых на вредных и опасных работах. Страхователь самостоятельно определяет состав предупредительных мер с учетом перечня мероприятий, разработанного по результатам СОУТ, и (или) коллективного договора, и (или) списка реализуемых мероприятий по улучшению условий и охраны труда, ликвидации, снижению или </w:t>
            </w:r>
            <w:proofErr w:type="spellStart"/>
            <w:r>
              <w:rPr>
                <w:color w:val="22272F"/>
                <w:sz w:val="13"/>
                <w:szCs w:val="13"/>
              </w:rPr>
              <w:t>неповышению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уровней </w:t>
            </w:r>
            <w:proofErr w:type="spellStart"/>
            <w:r>
              <w:rPr>
                <w:color w:val="22272F"/>
                <w:sz w:val="13"/>
                <w:szCs w:val="13"/>
              </w:rPr>
              <w:t>профрисков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. Заявление о финансовом обеспечении предупредительных мер и план </w:t>
            </w:r>
            <w:proofErr w:type="spellStart"/>
            <w:r>
              <w:rPr>
                <w:color w:val="22272F"/>
                <w:sz w:val="13"/>
                <w:szCs w:val="13"/>
              </w:rPr>
              <w:t>финобеспечения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нужно подавать, как и раньше, до 1 августа. К ним не нужно прикладывать комплект обосновывающих документов. Решение о внесении изменений в план страхователь также принимает самостоятельно. При этом повторная подача заявления и плана не требуется. Для направления заявления о возмещении расходов определен новый срок - 15 ноября (было - 15 декабря). К этому заявлению необходимо прикладывать обосновывающие произведенные расходы документы.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21" w:anchor="/document/410763482/entry/0" w:history="1">
              <w:r>
                <w:rPr>
                  <w:rStyle w:val="a4"/>
                  <w:color w:val="3272C0"/>
                  <w:sz w:val="13"/>
                  <w:szCs w:val="13"/>
                </w:rPr>
                <w:t>Приказ</w:t>
              </w:r>
            </w:hyperlink>
            <w:r>
              <w:rPr>
                <w:color w:val="22272F"/>
                <w:sz w:val="13"/>
                <w:szCs w:val="13"/>
              </w:rPr>
              <w:t> Министерства труда и социальной защиты Российской Федерации от 11 июля 2024 г. N 347н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6. 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В 2025 году (и в плановом периоде 2026 и 2027 годов) сохраняется неизменность тарифов на ОСС от несчастных случаев и профзаболеваний, установленных </w:t>
            </w:r>
            <w:hyperlink r:id="rId22" w:anchor="/document/12143845/entry/0" w:history="1">
              <w:r>
                <w:rPr>
                  <w:rStyle w:val="a4"/>
                  <w:color w:val="3272C0"/>
                  <w:sz w:val="13"/>
                  <w:szCs w:val="13"/>
                </w:rPr>
                <w:t>Федеральным законом</w:t>
              </w:r>
            </w:hyperlink>
            <w:r>
              <w:rPr>
                <w:color w:val="22272F"/>
                <w:sz w:val="13"/>
                <w:szCs w:val="13"/>
              </w:rPr>
              <w:t xml:space="preserve"> от 22 декабря 2005 г. N 179-ФЗ. Это 32 </w:t>
            </w:r>
            <w:proofErr w:type="gramStart"/>
            <w:r>
              <w:rPr>
                <w:color w:val="22272F"/>
                <w:sz w:val="13"/>
                <w:szCs w:val="13"/>
              </w:rPr>
              <w:t>страховых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 тарифа от 0,2% до 8,5%, дифференцированных по классам профессионального риска. </w:t>
            </w:r>
            <w:proofErr w:type="gramStart"/>
            <w:r>
              <w:rPr>
                <w:color w:val="22272F"/>
                <w:sz w:val="13"/>
                <w:szCs w:val="13"/>
              </w:rPr>
              <w:t>Также сохраняется льгота по уплате взносов на соцстрахование от НС и ПЗ для индивидуальных предпринимателей, которые уплачивают взносы только в размере 60% от установленных тарифов в части выплат в денежной и (или) натуральной формах (включая вознаграждения по ГПД) работникам, являющимся инвалидами I, II или III групп.</w:t>
            </w:r>
            <w:proofErr w:type="gramEnd"/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23" w:anchor="/document/410613502/entry/0" w:history="1">
              <w:r>
                <w:rPr>
                  <w:rStyle w:val="a4"/>
                  <w:color w:val="3272C0"/>
                  <w:sz w:val="13"/>
                  <w:szCs w:val="13"/>
                </w:rPr>
                <w:t>Федеральный закон</w:t>
              </w:r>
            </w:hyperlink>
            <w:r>
              <w:rPr>
                <w:color w:val="22272F"/>
                <w:sz w:val="13"/>
                <w:szCs w:val="13"/>
              </w:rPr>
              <w:t> от 26 октября 2024 г. N 352-ФЗ "О страховых тарифах на обязательное социальное страхование от несчастных случаев на производстве и профессиональных заболеваний на 2025 год и на плановый период 2026 и 2027 годов"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7. 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В 1,13 раза проиндексирован фиксированный размер страховых взносов на обязательное социальное страхование от несчастных случаев на производстве и профессиональных заболеваний, уплачиваемых страхователями, применяющими специальный налоговый режим "Автоматизированная упрощенная система налогообложения". В 2025 году размер взноса составляет 2750 руб. (было - 2 434 руб.).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24" w:anchor="/document/410981466/entry/0" w:history="1">
              <w:r>
                <w:rPr>
                  <w:rStyle w:val="a4"/>
                  <w:color w:val="3272C0"/>
                  <w:sz w:val="13"/>
                  <w:szCs w:val="13"/>
                </w:rPr>
                <w:t>Постановление</w:t>
              </w:r>
            </w:hyperlink>
            <w:r>
              <w:rPr>
                <w:color w:val="22272F"/>
                <w:sz w:val="13"/>
                <w:szCs w:val="13"/>
              </w:rPr>
              <w:t> Правительства Российской Федерации от 14 ноября 2024 г. N 1547 "Об индексации фиксированного размера страховых взносов на обязательное социальное страхование от несчастных случаев на производстве и профессиональных заболеваний, уплачиваемых страхователями, применяющими специальный налоговый режим "Автоматизированная упрощенная система налогообложения"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8. 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 xml:space="preserve">Минимальный </w:t>
            </w:r>
            <w:proofErr w:type="gramStart"/>
            <w:r>
              <w:rPr>
                <w:color w:val="22272F"/>
                <w:sz w:val="13"/>
                <w:szCs w:val="13"/>
              </w:rPr>
              <w:t>размер оплаты труда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 (</w:t>
            </w:r>
            <w:hyperlink r:id="rId25" w:anchor="/document/10180093/entry/0" w:history="1">
              <w:r>
                <w:rPr>
                  <w:rStyle w:val="a4"/>
                  <w:color w:val="3272C0"/>
                  <w:sz w:val="13"/>
                  <w:szCs w:val="13"/>
                </w:rPr>
                <w:t>МРОТ</w:t>
              </w:r>
            </w:hyperlink>
            <w:r>
              <w:rPr>
                <w:color w:val="22272F"/>
                <w:sz w:val="13"/>
                <w:szCs w:val="13"/>
              </w:rPr>
              <w:t>) - 22 440 рублей, что на 3 198 рублей или 16,6% больше, чем в 2024 году.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26" w:anchor="/document/410629654/entry/0" w:history="1">
              <w:r>
                <w:rPr>
                  <w:rStyle w:val="a4"/>
                  <w:color w:val="3272C0"/>
                  <w:sz w:val="13"/>
                  <w:szCs w:val="13"/>
                </w:rPr>
                <w:t>Федеральный закон</w:t>
              </w:r>
            </w:hyperlink>
            <w:r>
              <w:rPr>
                <w:color w:val="22272F"/>
                <w:sz w:val="13"/>
                <w:szCs w:val="13"/>
              </w:rPr>
              <w:t xml:space="preserve"> от 29 октября 2024 г. N 365-ФЗ "О внесении изменения в статью 1 Федерального закона "О минимальном </w:t>
            </w:r>
            <w:proofErr w:type="gramStart"/>
            <w:r>
              <w:rPr>
                <w:color w:val="22272F"/>
                <w:sz w:val="13"/>
                <w:szCs w:val="13"/>
              </w:rPr>
              <w:t>размере оплаты труда</w:t>
            </w:r>
            <w:proofErr w:type="gramEnd"/>
            <w:r>
              <w:rPr>
                <w:color w:val="22272F"/>
                <w:sz w:val="13"/>
                <w:szCs w:val="13"/>
              </w:rPr>
              <w:t>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9. 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Вводится в действие новая методика определения расчетных величин пожарного риска на производственных объектах (</w:t>
            </w:r>
            <w:proofErr w:type="gramStart"/>
            <w:r>
              <w:rPr>
                <w:color w:val="22272F"/>
                <w:sz w:val="13"/>
                <w:szCs w:val="13"/>
              </w:rPr>
              <w:t>ПО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). Речь идет о ПО класса функциональной пожарной опасности Ф5, включая здания иных классов функциональной пожарной опасности, входящие в состав </w:t>
            </w:r>
            <w:proofErr w:type="gramStart"/>
            <w:r>
              <w:rPr>
                <w:color w:val="22272F"/>
                <w:sz w:val="13"/>
                <w:szCs w:val="13"/>
              </w:rPr>
              <w:t>ПО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. Методика не распространяется на определение расчетных величин пожарного риска для ПО </w:t>
            </w:r>
            <w:proofErr w:type="spellStart"/>
            <w:r>
              <w:rPr>
                <w:color w:val="22272F"/>
                <w:sz w:val="13"/>
                <w:szCs w:val="13"/>
              </w:rPr>
              <w:t>спецназначения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- объектов производства, переработки, хранения взрывчатых веществ и материалов, наземных космических объектов и стартовых комплексов, объектов военного назначения, горных выработок, объектов в лесах и др.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27" w:anchor="/document/409615151/entry/1000" w:history="1">
              <w:r>
                <w:rPr>
                  <w:rStyle w:val="a4"/>
                  <w:color w:val="3272C0"/>
                  <w:sz w:val="13"/>
                  <w:szCs w:val="13"/>
                </w:rPr>
                <w:t>Приказ</w:t>
              </w:r>
            </w:hyperlink>
            <w:r>
              <w:rPr>
                <w:color w:val="22272F"/>
                <w:sz w:val="13"/>
                <w:szCs w:val="13"/>
              </w:rPr>
              <w:t> МЧС России от 26 июня 2024 г. N 533 "Об утверждении методики определения расчетных величин пожарного риска на производственных объектах"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10. 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Вступает в силу </w:t>
            </w:r>
            <w:hyperlink r:id="rId28" w:anchor="/document/409653019/entry/0" w:history="1">
              <w:r>
                <w:rPr>
                  <w:rStyle w:val="a4"/>
                  <w:color w:val="3272C0"/>
                  <w:sz w:val="13"/>
                  <w:szCs w:val="13"/>
                </w:rPr>
                <w:t>Отраслевое тарифное соглашение</w:t>
              </w:r>
            </w:hyperlink>
            <w:r>
              <w:rPr>
                <w:color w:val="22272F"/>
                <w:sz w:val="13"/>
                <w:szCs w:val="13"/>
              </w:rPr>
              <w:t xml:space="preserve"> по организациям химической, нефтехимической, </w:t>
            </w:r>
            <w:proofErr w:type="spellStart"/>
            <w:r>
              <w:rPr>
                <w:color w:val="22272F"/>
                <w:sz w:val="13"/>
                <w:szCs w:val="13"/>
              </w:rPr>
              <w:t>биотехнологической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и химико-фармацевтической промышленности на 2025-2027 годы. Оно регулирует, в частности, трудовые правоотношения, рабочее время и время отдыха, оплату и нормирование труда, вопросы охраны труда, здоровья, социальные гарантии, льготы и компенсации. Соглашение применяется при заключении коллективных и трудовых договоров, принятии локальных актов, содержащих нормы трудового права, а также при разрешении коллективных и индивидуальных трудовых споров.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29" w:anchor="/document/409653019/entry/0" w:history="1">
              <w:r>
                <w:rPr>
                  <w:rStyle w:val="a4"/>
                  <w:color w:val="3272C0"/>
                  <w:sz w:val="13"/>
                  <w:szCs w:val="13"/>
                </w:rPr>
                <w:t>Отраслевое тарифное соглашение</w:t>
              </w:r>
            </w:hyperlink>
          </w:p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 xml:space="preserve">по организациям химической, нефтехимической, </w:t>
            </w:r>
            <w:proofErr w:type="spellStart"/>
            <w:r>
              <w:rPr>
                <w:color w:val="22272F"/>
                <w:sz w:val="13"/>
                <w:szCs w:val="13"/>
              </w:rPr>
              <w:t>биотехнологической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и химико-фармацевтической промышленности Российской Федерации на 2025-2027 годы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11. 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Вступает в силу </w:t>
            </w:r>
            <w:hyperlink r:id="rId30" w:anchor="/document/409652991/entry/0" w:history="1">
              <w:r>
                <w:rPr>
                  <w:rStyle w:val="a4"/>
                  <w:color w:val="3272C0"/>
                  <w:sz w:val="13"/>
                  <w:szCs w:val="13"/>
                </w:rPr>
                <w:t>Отраслевое тарифное соглашение</w:t>
              </w:r>
            </w:hyperlink>
            <w:r>
              <w:rPr>
                <w:color w:val="22272F"/>
                <w:sz w:val="13"/>
                <w:szCs w:val="13"/>
              </w:rPr>
              <w:t xml:space="preserve"> по организациям нефтеперерабатывающей отрасли промышленности и системы </w:t>
            </w:r>
            <w:r>
              <w:rPr>
                <w:color w:val="22272F"/>
                <w:sz w:val="13"/>
                <w:szCs w:val="13"/>
              </w:rPr>
              <w:lastRenderedPageBreak/>
              <w:t>нефтепродуктообеспечения на 2025-2027 годы. Оно регулирует, в частности, трудовые правоотношения, рабочее время и время отдыха, оплату и нормирование труда, вопросы охраны труда, здоровья, социальные гарантии, льготы и компенсации. Соглашение применяется при заключении коллективных и трудовых договоров, принятии локальных актов, содержащих нормы трудового права, а также при разрешении коллективных и индивидуальных трудовых споров.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31" w:anchor="/document/409652991/entry/0" w:history="1">
              <w:r>
                <w:rPr>
                  <w:rStyle w:val="a4"/>
                  <w:color w:val="3272C0"/>
                  <w:sz w:val="13"/>
                  <w:szCs w:val="13"/>
                </w:rPr>
                <w:t>Отраслевое тарифное соглашение</w:t>
              </w:r>
            </w:hyperlink>
            <w:r>
              <w:rPr>
                <w:color w:val="22272F"/>
                <w:sz w:val="13"/>
                <w:szCs w:val="13"/>
              </w:rPr>
              <w:t xml:space="preserve"> по организациям нефтеперерабатывающей отрасли промышленности и системы нефтепродуктообеспечения Российской Федерации на </w:t>
            </w:r>
            <w:r>
              <w:rPr>
                <w:color w:val="22272F"/>
                <w:sz w:val="13"/>
                <w:szCs w:val="13"/>
              </w:rPr>
              <w:lastRenderedPageBreak/>
              <w:t>2025-2027 годы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lastRenderedPageBreak/>
              <w:t>12.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Вступает в силу </w:t>
            </w:r>
            <w:hyperlink r:id="rId32" w:anchor="/document/411084190/entry/0" w:history="1">
              <w:r>
                <w:rPr>
                  <w:rStyle w:val="a4"/>
                  <w:color w:val="3272C0"/>
                  <w:sz w:val="13"/>
                  <w:szCs w:val="13"/>
                </w:rPr>
                <w:t>Федеральное отраслевое соглашение</w:t>
              </w:r>
            </w:hyperlink>
            <w:r>
              <w:rPr>
                <w:color w:val="22272F"/>
                <w:sz w:val="13"/>
                <w:szCs w:val="13"/>
              </w:rPr>
              <w:t xml:space="preserve"> по угольной промышленности на 2025-2027 годы. По-прежнему, регулируются вопросы оплаты и охраны труда, предоставления гарантий и компенсаций в случае гибели работника, </w:t>
            </w:r>
            <w:proofErr w:type="spellStart"/>
            <w:r>
              <w:rPr>
                <w:color w:val="22272F"/>
                <w:sz w:val="13"/>
                <w:szCs w:val="13"/>
              </w:rPr>
              <w:t>травмирования</w:t>
            </w:r>
            <w:proofErr w:type="spellEnd"/>
            <w:r>
              <w:rPr>
                <w:color w:val="22272F"/>
                <w:sz w:val="13"/>
                <w:szCs w:val="13"/>
              </w:rPr>
              <w:t>, утраты трудоспособности и др. Новые положения обязательны при заключении коллективных договоров и разрешении коллективных и индивидуальных трудовых споров. Условия трудовых договоров не должны противоречить соглашению.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33" w:anchor="/document/411084190/entry/0" w:history="1">
              <w:r>
                <w:rPr>
                  <w:rStyle w:val="a4"/>
                  <w:color w:val="3272C0"/>
                  <w:sz w:val="13"/>
                  <w:szCs w:val="13"/>
                </w:rPr>
                <w:t>Федеральное отраслевое соглашение</w:t>
              </w:r>
            </w:hyperlink>
            <w:r>
              <w:rPr>
                <w:color w:val="22272F"/>
                <w:sz w:val="13"/>
                <w:szCs w:val="13"/>
              </w:rPr>
              <w:t> по угольной промышленности Российской Федерации на 2025-2027 годы (7 ноября 2024 г.)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13.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Вводится в действие национальный стандарт РФ </w:t>
            </w:r>
            <w:hyperlink r:id="rId34" w:anchor="/document/411008848/entry/0" w:history="1">
              <w:r>
                <w:rPr>
                  <w:rStyle w:val="a4"/>
                  <w:color w:val="3272C0"/>
                  <w:sz w:val="13"/>
                  <w:szCs w:val="13"/>
                </w:rPr>
                <w:t xml:space="preserve">ГОСТ </w:t>
              </w:r>
              <w:proofErr w:type="gramStart"/>
              <w:r>
                <w:rPr>
                  <w:rStyle w:val="a4"/>
                  <w:color w:val="3272C0"/>
                  <w:sz w:val="13"/>
                  <w:szCs w:val="13"/>
                </w:rPr>
                <w:t>Р</w:t>
              </w:r>
              <w:proofErr w:type="gramEnd"/>
              <w:r>
                <w:rPr>
                  <w:rStyle w:val="a4"/>
                  <w:color w:val="3272C0"/>
                  <w:sz w:val="13"/>
                  <w:szCs w:val="13"/>
                </w:rPr>
                <w:t xml:space="preserve"> 57717-2024</w:t>
              </w:r>
            </w:hyperlink>
            <w:r>
              <w:rPr>
                <w:color w:val="22272F"/>
                <w:sz w:val="13"/>
                <w:szCs w:val="13"/>
              </w:rPr>
              <w:t> "Горное дело. Безопасность в угольных шахтах. Термины и определения" (взамен  </w:t>
            </w:r>
            <w:hyperlink r:id="rId35" w:anchor="/document/400948301/entry/0" w:history="1">
              <w:r>
                <w:rPr>
                  <w:rStyle w:val="a4"/>
                  <w:color w:val="3272C0"/>
                  <w:sz w:val="13"/>
                  <w:szCs w:val="13"/>
                </w:rPr>
                <w:t xml:space="preserve">ГОСТ </w:t>
              </w:r>
              <w:proofErr w:type="gramStart"/>
              <w:r>
                <w:rPr>
                  <w:rStyle w:val="a4"/>
                  <w:color w:val="3272C0"/>
                  <w:sz w:val="13"/>
                  <w:szCs w:val="13"/>
                </w:rPr>
                <w:t>Р</w:t>
              </w:r>
              <w:proofErr w:type="gramEnd"/>
              <w:r>
                <w:rPr>
                  <w:rStyle w:val="a4"/>
                  <w:color w:val="3272C0"/>
                  <w:sz w:val="13"/>
                  <w:szCs w:val="13"/>
                </w:rPr>
                <w:t xml:space="preserve"> 57717-2017</w:t>
              </w:r>
            </w:hyperlink>
            <w:r>
              <w:rPr>
                <w:color w:val="22272F"/>
                <w:sz w:val="13"/>
                <w:szCs w:val="13"/>
              </w:rPr>
              <w:t xml:space="preserve">). Стандарт содержит формулировки общих и специальных понятий в области охраны труда и промышленной безопасности, которые распределены по разделам: аэрологическая безопасность угольных шахт, пожарная безопасность, взрывобезопасность, безопасность при газодинамических (геодинамических) явлениях, безопасность при прорывах воды и затоплении горных выработок, </w:t>
            </w:r>
            <w:proofErr w:type="spellStart"/>
            <w:r>
              <w:rPr>
                <w:color w:val="22272F"/>
                <w:sz w:val="13"/>
                <w:szCs w:val="13"/>
              </w:rPr>
              <w:t>электробезопасность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и взрывозащищенное оборудование и другим. Кроме того, термины приводятся в алфавитном указателе. Определения разрешается уточнять, дополняя их производными признаками, раскрывая значения терминов, указывая объекты, входящие в объем понятия. Стандарт рекомендуется применять во всех сферах, связанных с безопасной добычей твердых полезных ископаемых в угольных шахтах и их обогащением.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36" w:anchor="/document/410728278/entry/0" w:history="1">
              <w:r>
                <w:rPr>
                  <w:rStyle w:val="a4"/>
                  <w:color w:val="3272C0"/>
                  <w:sz w:val="13"/>
                  <w:szCs w:val="13"/>
                </w:rPr>
                <w:t>Приказ</w:t>
              </w:r>
            </w:hyperlink>
            <w:r>
              <w:rPr>
                <w:color w:val="22272F"/>
                <w:sz w:val="13"/>
                <w:szCs w:val="13"/>
              </w:rPr>
              <w:t> Федерального агентства по техническому регулированию и метрологии от 31 октября 2024 г. N 1573-ст "Об утверждении национального стандарта Российской Федерации"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14.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 xml:space="preserve">Вступают в силу требования для ручных неэлектрических машин с возвратно-поступательным движением ножниц и вырубных ножниц. Машины могут работать с приводом от сжатого воздуха, гидравлической жидкости под давлением или двигателя внутреннего сгорания, удерживаться при эксплуатации оператором при помощи одной или обеих рук, быть с подвесным устройством или без него. </w:t>
            </w:r>
            <w:proofErr w:type="gramStart"/>
            <w:r>
              <w:rPr>
                <w:color w:val="22272F"/>
                <w:sz w:val="13"/>
                <w:szCs w:val="13"/>
              </w:rPr>
              <w:t>Рассматриваются следующие существенные опасности, опасные ситуации и события, относящиеся к машинам, когда они используются по назначению и в условиях неправильного применения: механические (отрезание, трение, потеря устойчивости, выброс жидкости под высоким давлением и т.п.), тепловые (взрывы, воздействие высокой или низкой температуры поверхностей), шум, вибрация, отработавший воздух, смазки, гидравлическая жидкость, несоблюдение эргономических принципов работы и другие.</w:t>
            </w:r>
            <w:proofErr w:type="gramEnd"/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37" w:anchor="/document/408664123/entry/0" w:history="1">
              <w:r>
                <w:rPr>
                  <w:rStyle w:val="a4"/>
                  <w:color w:val="3272C0"/>
                  <w:sz w:val="13"/>
                  <w:szCs w:val="13"/>
                </w:rPr>
                <w:t>Межгосударственный стандарт</w:t>
              </w:r>
            </w:hyperlink>
            <w:r>
              <w:rPr>
                <w:color w:val="22272F"/>
                <w:sz w:val="13"/>
                <w:szCs w:val="13"/>
              </w:rPr>
              <w:t> ГОСТ ISO 11148-11-2015 "Машины ручные неэлектрические. Требования безопасности. Часть 11. Ножницы и вырубные ножницы" (введен в действие </w:t>
            </w:r>
            <w:hyperlink r:id="rId38" w:anchor="/document/409275408/entry/0" w:history="1">
              <w:r>
                <w:rPr>
                  <w:rStyle w:val="a4"/>
                  <w:color w:val="3272C0"/>
                  <w:sz w:val="13"/>
                  <w:szCs w:val="13"/>
                </w:rPr>
                <w:t>приказом</w:t>
              </w:r>
            </w:hyperlink>
            <w:r>
              <w:rPr>
                <w:color w:val="22272F"/>
                <w:sz w:val="13"/>
                <w:szCs w:val="13"/>
              </w:rPr>
              <w:t> Федерального агентства по техническому регулированию и метрологии от 25 декабря 2023 г. N 1629-ст)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15.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 xml:space="preserve">С января применяются клинические рекомендации "Потеря слуха, вызванная шумом", которые содержат краткую информацию по заболеванию, классификатор степеней тяжести нарушений, рекомендации по диагностике, лечению, реабилитации, а также подробное описание профилактических мероприятий. Например, отмечается, что основными направлениями первичной профилактики являются в т. ч. экологический и социально-гигиенический мониторинг условий труда; медицинские обследования работающих с целью снижения влияния вредных факторов производственного риска. Перечисляются мероприятия по соблюдению санитарно-гигиенических норм: контроль за состоянием условий труда на основе СОУТ, выявление участков, рабочих мест и оборудования с уровнями производственного шума выше установленных параметров; оценка степени звукоизоляции помещений, </w:t>
            </w:r>
            <w:proofErr w:type="spellStart"/>
            <w:r>
              <w:rPr>
                <w:color w:val="22272F"/>
                <w:sz w:val="13"/>
                <w:szCs w:val="13"/>
              </w:rPr>
              <w:t>шум</w:t>
            </w:r>
            <w:proofErr w:type="gramStart"/>
            <w:r>
              <w:rPr>
                <w:color w:val="22272F"/>
                <w:sz w:val="13"/>
                <w:szCs w:val="13"/>
              </w:rPr>
              <w:t>о</w:t>
            </w:r>
            <w:proofErr w:type="spellEnd"/>
            <w:r>
              <w:rPr>
                <w:color w:val="22272F"/>
                <w:sz w:val="13"/>
                <w:szCs w:val="13"/>
              </w:rPr>
              <w:t>-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 и </w:t>
            </w:r>
            <w:proofErr w:type="spellStart"/>
            <w:r>
              <w:rPr>
                <w:color w:val="22272F"/>
                <w:sz w:val="13"/>
                <w:szCs w:val="13"/>
              </w:rPr>
              <w:t>виброопасности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оборудования и технологических процессов; разработка мероприятий по улучшению условий труда, снижению уровня производственного шума и потенцирующих его вредное действие факторов (вибрации, </w:t>
            </w:r>
            <w:proofErr w:type="spellStart"/>
            <w:r>
              <w:rPr>
                <w:color w:val="22272F"/>
                <w:sz w:val="13"/>
                <w:szCs w:val="13"/>
              </w:rPr>
              <w:t>психоэмоционального</w:t>
            </w:r>
            <w:proofErr w:type="spellEnd"/>
            <w:r>
              <w:rPr>
                <w:color w:val="22272F"/>
                <w:sz w:val="13"/>
                <w:szCs w:val="13"/>
              </w:rPr>
              <w:t xml:space="preserve"> напряжения, вынужденной рабочей позы); внедрение рациональных режимов трудовой деятельности, оздоровление коллектива. Приводится описание технических мер профилактики и коллективных мер защиты, даны рекомендации по применению </w:t>
            </w:r>
            <w:proofErr w:type="gramStart"/>
            <w:r>
              <w:rPr>
                <w:color w:val="22272F"/>
                <w:sz w:val="13"/>
                <w:szCs w:val="13"/>
              </w:rPr>
              <w:t>методов определения риска потерь слуха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 от шума, использованию СИЗ, внедрению режимов "защиты временем", созданию условий для повышения адаптационных сил организма работника.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39" w:anchor="/document/408710299/entry/0" w:history="1">
              <w:r>
                <w:rPr>
                  <w:rStyle w:val="a4"/>
                  <w:color w:val="3272C0"/>
                  <w:sz w:val="13"/>
                  <w:szCs w:val="13"/>
                </w:rPr>
                <w:t>Клинические рекомендации</w:t>
              </w:r>
            </w:hyperlink>
            <w:r>
              <w:rPr>
                <w:color w:val="22272F"/>
                <w:sz w:val="13"/>
                <w:szCs w:val="13"/>
              </w:rPr>
              <w:t> "Потеря слуха, вызванная шумом" (утв. Министерством здравоохранения Российской Федерации, 2024 г.)</w:t>
            </w:r>
          </w:p>
        </w:tc>
      </w:tr>
      <w:tr w:rsidR="00BD5678" w:rsidTr="00BD5678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>16.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r>
              <w:rPr>
                <w:color w:val="22272F"/>
                <w:sz w:val="13"/>
                <w:szCs w:val="13"/>
              </w:rPr>
              <w:t xml:space="preserve">В соответствии с национальными целями развития РФ на период до 2030 года и на перспективу до 2036 года разработано новое положение об общероссийском мониторинге состояния условий и охраны труда. Документ действует с 1 января 2025 г. и определяет порядок организации и проведения мониторинга, перечень объектов мониторинга, состав сведений и форм отчетности, предоставляемых для его осуществления. Список основных объектов мониторинга изменился. </w:t>
            </w:r>
            <w:proofErr w:type="gramStart"/>
            <w:r>
              <w:rPr>
                <w:color w:val="22272F"/>
                <w:sz w:val="13"/>
                <w:szCs w:val="13"/>
              </w:rPr>
              <w:t>В частности, добавлен пункт об управлении профессиональными рисками, включая следующие процессы функционирования СУОТ: обеспечения работников СИЗ; проведения медосмотров работников; обучения по охране труда работников и работодателей и проверки знания требований охраны труда, в том числе обучения по оказанию первой помощи пострадавшим на производстве, обучения по применению СИЗ, инструктажа по охране труда, стажировки на рабочем месте.</w:t>
            </w:r>
            <w:proofErr w:type="gramEnd"/>
            <w:r>
              <w:rPr>
                <w:color w:val="22272F"/>
                <w:sz w:val="13"/>
                <w:szCs w:val="13"/>
              </w:rPr>
              <w:t xml:space="preserve"> Результаты мониторинга будут размещаться ежегодно на официальном сайте Минтруда России в срок до 1 октября текущего года.</w:t>
            </w:r>
          </w:p>
        </w:tc>
        <w:tc>
          <w:tcPr>
            <w:tcW w:w="4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D5678" w:rsidRDefault="00BD5678">
            <w:pPr>
              <w:pStyle w:val="s16"/>
              <w:spacing w:before="0" w:beforeAutospacing="0" w:after="0" w:afterAutospacing="0"/>
              <w:rPr>
                <w:color w:val="22272F"/>
                <w:sz w:val="13"/>
                <w:szCs w:val="13"/>
              </w:rPr>
            </w:pPr>
            <w:hyperlink r:id="rId40" w:anchor="/document/411148897/entry/0" w:history="1">
              <w:r>
                <w:rPr>
                  <w:rStyle w:val="a4"/>
                  <w:color w:val="3272C0"/>
                  <w:sz w:val="13"/>
                  <w:szCs w:val="13"/>
                </w:rPr>
                <w:t>Приказ</w:t>
              </w:r>
            </w:hyperlink>
            <w:r>
              <w:rPr>
                <w:color w:val="22272F"/>
                <w:sz w:val="13"/>
                <w:szCs w:val="13"/>
              </w:rPr>
              <w:t> Министерства труда и социальной защиты Российской Федерации от 3 декабря 2024 г. N 661 "О проведении общероссийского мониторинга состояния условий и охраны труда"</w:t>
            </w:r>
          </w:p>
        </w:tc>
      </w:tr>
    </w:tbl>
    <w:p w:rsidR="00BD5678" w:rsidRDefault="00BD5678" w:rsidP="005F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678" w:rsidRPr="005F7EB2" w:rsidRDefault="00BD5678" w:rsidP="005F7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2025 года вступили в силу ряд значимых поправок в сфере охраны труда, затрагивающие деятельность большинства организаций. Эти изменения направлены на повышение уровня защиты прав работников и совершенствование системы контроля со стороны государственных органов. Рассмотрим подробнее, какие именно новшества ожидают работодателей и что им предстоит предпринять для соответствия новым требованиям: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Единые типовые нормы выдачи средств индивидуальной защиты (СИЗ)</w:t>
      </w: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1 января 2025 года завершился переходный период на использование единых типовых норм (ЕТН) выдачи СИЗ. Этот процесс был запущен ранее, но теперь стал обязательным для всех </w:t>
      </w: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компаний. Работодатели должны обеспечить соответствие своих процедур этим нормам, чтобы избежать штрафов и других санкций. Важно учесть, что ЕТН охватывают разные отрасли и профессии, поэтому следует внимательно изучить нормативные документы, регулирующие выдачу </w:t>
      </w:r>
      <w:proofErr w:type="gramStart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конкретной сфере деятельности.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Медицинские осмотры</w:t>
      </w:r>
      <w:proofErr w:type="gramStart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марта 2025 года порядок проведения медицинских осмотров будет разделён на две отдельные группы документов:</w:t>
      </w:r>
    </w:p>
    <w:p w:rsidR="005F7EB2" w:rsidRPr="005F7EB2" w:rsidRDefault="005E5940" w:rsidP="005F7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5F7EB2" w:rsidRPr="005F7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Осмотр для работников, занятых на вредных и (или) опасных условиях труда (ID 02/08/04-24/00147079</w:t>
        </w:r>
      </w:hyperlink>
      <w:r w:rsidR="005F7EB2"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7EB2" w:rsidRPr="005F7EB2" w:rsidRDefault="005E5940" w:rsidP="005F7EB2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5F7EB2" w:rsidRPr="005F7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Осмотр для сотрудников медицинских учреждений, образовательных организаций, предприятий общественного питания и торговли (ID 02/08/04-24/00147085</w:t>
        </w:r>
      </w:hyperlink>
      <w:r w:rsidR="005F7EB2"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изменения включают следующие аспекты:</w:t>
      </w:r>
    </w:p>
    <w:p w:rsidR="005F7EB2" w:rsidRPr="005F7EB2" w:rsidRDefault="005F7EB2" w:rsidP="005F7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проходящие медосмотры на вредных и (или) опасных производствах, обязаны указывать свой СНИЛС при направлении на осмотр.</w:t>
      </w:r>
      <w:proofErr w:type="gramEnd"/>
    </w:p>
    <w:p w:rsidR="005F7EB2" w:rsidRPr="005F7EB2" w:rsidRDefault="005F7EB2" w:rsidP="005F7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медицинского обследования должно предоставляться в течение пяти рабочих дней после завершения процедуры.</w:t>
      </w:r>
    </w:p>
    <w:p w:rsidR="005F7EB2" w:rsidRPr="005F7EB2" w:rsidRDefault="005F7EB2" w:rsidP="005F7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обязан составить перечень категорий сотрудников, подлежащих медицинским осмотрам, и предоставить его в </w:t>
      </w:r>
      <w:proofErr w:type="spellStart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рабочих дней.</w:t>
      </w:r>
    </w:p>
    <w:p w:rsidR="005F7EB2" w:rsidRPr="005F7EB2" w:rsidRDefault="005F7EB2" w:rsidP="005F7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врачебной комиссии расширился: кроме терапевта и гинеколога, в неё включены </w:t>
      </w:r>
      <w:proofErr w:type="spellStart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профпатолог</w:t>
      </w:r>
      <w:proofErr w:type="spellEnd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ЛОР.</w:t>
      </w:r>
      <w:proofErr w:type="gramEnd"/>
    </w:p>
    <w:p w:rsidR="005F7EB2" w:rsidRPr="005F7EB2" w:rsidRDefault="005F7EB2" w:rsidP="005F7E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Добавились новые противопоказания для допуска к работе: носительство патогенных штаммов стафилококков и наличие гнойно-воспалительных заболеваний кожи.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поправки потребуют обновления локальных нормативных актов (ЛНА) и порядка проведения медицинских осмотров в организациях.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труда и отдыха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затронули правила регулирования рабочего времени и отдыха:</w:t>
      </w:r>
    </w:p>
    <w:p w:rsidR="005F7EB2" w:rsidRPr="005F7EB2" w:rsidRDefault="005F7EB2" w:rsidP="005F7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Отгулы за работу в выходные дни: начиная с 1 марта 2025 года, сотрудники смогут воспользоваться отгулами за выходную работу в течение одного календарного года. При увольнении неиспользованные отгулы подлежат денежной компенсации.</w:t>
      </w:r>
    </w:p>
    <w:p w:rsidR="005F7EB2" w:rsidRPr="005F7EB2" w:rsidRDefault="005F7EB2" w:rsidP="005F7E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выходные для женщин с детьми до семи лет: с 1 января 2025 года они могут получить дополнительный выходной день каждые два месяца или накопить их для использования шестидневным блоком.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меры направлены на улучшение условий труда и поддержку работающих родителей.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Пожарная безопасность</w:t>
      </w:r>
    </w:p>
    <w:p w:rsidR="005F7EB2" w:rsidRPr="005F7EB2" w:rsidRDefault="005E5940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Федеральный закон от 24.09.2022 N 370-ФЗ О внесении изменений в отдельные законодательные акты.pdf" w:history="1">
        <w:r w:rsidR="005F7EB2" w:rsidRPr="005F7E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24 сентября 2022 г. № 370-ФЗ внёс изменения в статьи 24 и 37 Федерального закона «О пожарной безопасности» от 21 декабря 1994 г. № 69-ФЗ</w:t>
        </w:r>
      </w:hyperlink>
      <w:r w:rsidR="005F7EB2"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ответственным за пожарную безопасность может стать только сотрудник, соответствующий установленным профессиональным стандартам. Это значит, что кандидат на данную должность должен обладать профильным образованием или пройти специальную подготовку в области пожарной безопасности.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proofErr w:type="gramStart"/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Новые</w:t>
      </w:r>
      <w:proofErr w:type="gramEnd"/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чек-листы</w:t>
      </w:r>
      <w:proofErr w:type="spellEnd"/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частота проверок Государственной инспекцией труда (ГИТ)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организации будут распределяться по категориям риска, что повлияет на частоту проверок. Для каждой категории установлены свои критерии оценки, основанные на уровне опасности производственных процессов и соблюдении требований охраны труда.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Реестр специалистов по специальной оценке условий труда (СОУТ)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марта 2025 года процедура внесения изменений в реестр специалистов по СОУТ сократилась до двух дней. Сертификаты экспертов были обновлены: они приобрели электронный формат с использованием цифровых подписей и штрих кодов, что повысило прозрачность и надёжность процесса сертификации.</w:t>
      </w:r>
    </w:p>
    <w:p w:rsidR="005F7EB2" w:rsidRPr="005F7EB2" w:rsidRDefault="005F7EB2" w:rsidP="005F7EB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Предстоящие изменения требуют внимательного подхода со стороны работодателей. Необходимо своевременно привести внутренние регламенты и процедуры в соответствие с новыми требованиями законодательства, а также обучить персонал и провести необходимые организационные мероприятия. Только так можно гарантировать соблюдение всех стандартов охраны труда и минимизировать риски возникновения трудовых споров и штрафных санкций.</w:t>
      </w:r>
    </w:p>
    <w:p w:rsidR="00C5444F" w:rsidRDefault="00C5444F"/>
    <w:sectPr w:rsidR="00C5444F" w:rsidSect="00C5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E46"/>
    <w:multiLevelType w:val="multilevel"/>
    <w:tmpl w:val="D0C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C7079"/>
    <w:multiLevelType w:val="multilevel"/>
    <w:tmpl w:val="27A6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F5A1E"/>
    <w:multiLevelType w:val="multilevel"/>
    <w:tmpl w:val="15C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F7EB2"/>
    <w:rsid w:val="005E5940"/>
    <w:rsid w:val="005F7EB2"/>
    <w:rsid w:val="00BD5678"/>
    <w:rsid w:val="00C5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4F"/>
  </w:style>
  <w:style w:type="paragraph" w:styleId="1">
    <w:name w:val="heading 1"/>
    <w:basedOn w:val="a"/>
    <w:link w:val="10"/>
    <w:uiPriority w:val="9"/>
    <w:qFormat/>
    <w:rsid w:val="005F7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-text-secondary">
    <w:name w:val="c-text-secondary"/>
    <w:basedOn w:val="a0"/>
    <w:rsid w:val="005F7EB2"/>
  </w:style>
  <w:style w:type="paragraph" w:styleId="a3">
    <w:name w:val="Normal (Web)"/>
    <w:basedOn w:val="a"/>
    <w:uiPriority w:val="99"/>
    <w:semiHidden/>
    <w:unhideWhenUsed/>
    <w:rsid w:val="005F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EB2"/>
    <w:rPr>
      <w:color w:val="0000FF"/>
      <w:u w:val="single"/>
    </w:rPr>
  </w:style>
  <w:style w:type="paragraph" w:customStyle="1" w:styleId="s3">
    <w:name w:val="s_3"/>
    <w:basedOn w:val="a"/>
    <w:rsid w:val="00B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5678"/>
    <w:rPr>
      <w:i/>
      <w:iCs/>
    </w:rPr>
  </w:style>
  <w:style w:type="paragraph" w:customStyle="1" w:styleId="empty">
    <w:name w:val="empty"/>
    <w:basedOn w:val="a"/>
    <w:rsid w:val="00B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D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109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regulation.gov.ru/Regulation/Npa/PublicView?npaID=147085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regulation.gov.ru/Regulation/Npa/PublicView?npaID=1470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xn----ctbfgy4aifm8h.xn--p1ai/students/news/%D0%A4%D0%B5%D0%B4%D0%B5%D1%80%D0%B0%D0%BB%D1%8C%D0%BD%D1%8B%D0%B9%20%D0%B7%D0%B0%D0%BA%D0%BE%D0%BD%20%D0%BE%D1%82%2024.09.2022%20N%20370-%D0%A4%D0%97%20%D0%9E%20%D0%B2%D0%BD%D0%B5%D1%81%D0%B5%D0%BD%D0%B8%D0%B8%20%D0%B8%D0%B7%D0%BC%D0%B5%D0%BD%D0%B5%D0%BD%D0%B8%D0%B9%20%D0%B2%20%D0%BE%D1%82%D0%B4%D0%B5%D0%BB%D1%8C%D0%BD%D1%8B%D0%B5%20%D0%B7%D0%B0%D0%BA%D0%BE%D0%BD%D0%BE%D0%B4%D0%B0%D1%82%D0%B5%D0%BB%D1%8C%D0%BD%D1%8B%D0%B5%20%D0%B0%D0%BA%D1%82%D1%8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3293</Words>
  <Characters>18774</Characters>
  <Application>Microsoft Office Word</Application>
  <DocSecurity>0</DocSecurity>
  <Lines>156</Lines>
  <Paragraphs>44</Paragraphs>
  <ScaleCrop>false</ScaleCrop>
  <Company/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2025-04-11T05:29:00Z</dcterms:created>
  <dcterms:modified xsi:type="dcterms:W3CDTF">2025-04-11T05:44:00Z</dcterms:modified>
</cp:coreProperties>
</file>