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9"/>
        <w:gridCol w:w="4852"/>
      </w:tblGrid>
      <w:tr w:rsidR="00821619" w:rsidTr="00821619">
        <w:tc>
          <w:tcPr>
            <w:tcW w:w="5136" w:type="dxa"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6" w:type="dxa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Утверждены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решением Совета депутатов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«</w:t>
            </w:r>
            <w:r w:rsidR="00703318">
              <w:rPr>
                <w:rFonts w:ascii="Times New Roman" w:hAnsi="Times New Roman"/>
                <w:color w:val="000000"/>
              </w:rPr>
              <w:t>Шалутское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«___» __________ 2017г. № _____</w:t>
            </w:r>
          </w:p>
        </w:tc>
      </w:tr>
    </w:tbl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</w:p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Местные нормативы градостроительного проектирования</w:t>
      </w:r>
    </w:p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</w:t>
      </w:r>
      <w:r w:rsidR="00703318">
        <w:rPr>
          <w:rFonts w:ascii="Times New Roman" w:hAnsi="Times New Roman"/>
          <w:b/>
        </w:rPr>
        <w:t>Шалутское</w:t>
      </w:r>
      <w:r>
        <w:rPr>
          <w:rFonts w:ascii="Times New Roman" w:hAnsi="Times New Roman"/>
          <w:b/>
        </w:rPr>
        <w:t>» Тарбагатайского района Республики Бурятия</w:t>
      </w:r>
    </w:p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</w:pPr>
    </w:p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:rsidR="00821619" w:rsidRDefault="00821619" w:rsidP="00821619">
      <w:pPr>
        <w:pStyle w:val="20"/>
        <w:shd w:val="clear" w:color="auto" w:fill="auto"/>
        <w:spacing w:before="0" w:after="0" w:line="240" w:lineRule="auto"/>
        <w:ind w:right="23"/>
      </w:pPr>
    </w:p>
    <w:p w:rsidR="00821619" w:rsidRDefault="00821619" w:rsidP="00821619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градостроительного проектирования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«Тарбагатайский район» (далее - местные нормативы) разработаны на основании действующего законодательства о градостроительной деятельности,  Закона Республики Бурятия от 10.09.2007 № 2425-III «О Градостроительном уставе Республики Бурятия».</w:t>
      </w:r>
    </w:p>
    <w:p w:rsidR="00821619" w:rsidRDefault="00821619" w:rsidP="00821619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821619" w:rsidRDefault="00821619" w:rsidP="00821619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Местные нормативы разработаны для использования их в процессе подготовки документов территориального планирования, документации по планировке территорий муниципальных образований.</w:t>
      </w:r>
    </w:p>
    <w:p w:rsidR="00821619" w:rsidRDefault="00821619" w:rsidP="00821619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групп граждан и использования их инвалидами, </w:t>
      </w:r>
      <w:proofErr w:type="spellStart"/>
      <w:r>
        <w:rPr>
          <w:sz w:val="24"/>
          <w:szCs w:val="24"/>
        </w:rPr>
        <w:t>маломобильными</w:t>
      </w:r>
      <w:proofErr w:type="spellEnd"/>
      <w:r>
        <w:rPr>
          <w:sz w:val="24"/>
          <w:szCs w:val="24"/>
        </w:rPr>
        <w:t xml:space="preserve"> группами граждан не допускаются.</w:t>
      </w:r>
    </w:p>
    <w:p w:rsidR="00821619" w:rsidRDefault="00821619" w:rsidP="00821619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Местные нормативы разработаны с учетом административно-территориального устройства района; социально-демографического состава и плотности населения муниципальных образований на территориях, расположенных в границах района; природно-климатических условий; стратегии социально-экономического развития района; программы и прогноза социально-экономического развития района; предложений органов местного самоуправления муниципальных образований, расположенных в границах муниципального района, и заинтересованных лиц.</w:t>
      </w:r>
    </w:p>
    <w:p w:rsidR="00821619" w:rsidRDefault="00821619" w:rsidP="00821619">
      <w:pPr>
        <w:pStyle w:val="11"/>
        <w:shd w:val="clear" w:color="auto" w:fill="auto"/>
        <w:spacing w:after="0" w:line="240" w:lineRule="auto"/>
        <w:ind w:left="20"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местных нормативов градостроительного проектирования:</w:t>
      </w:r>
    </w:p>
    <w:p w:rsidR="00821619" w:rsidRDefault="00821619" w:rsidP="00821619">
      <w:pPr>
        <w:pStyle w:val="11"/>
        <w:shd w:val="clear" w:color="auto" w:fill="auto"/>
        <w:tabs>
          <w:tab w:val="left" w:pos="822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>- Основная часть (расчетные показатели минимально допустимого уровня обеспеченности объектами местного значения, относящимися к областям, указанным в пункте 1 части 3 статьи 19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района);</w:t>
      </w:r>
    </w:p>
    <w:p w:rsidR="00821619" w:rsidRDefault="00821619" w:rsidP="00821619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>-  Материалы по обоснованию расчетных показателей, содержащихся в основной части местных нормативов градостроительного проектирования.</w:t>
      </w:r>
    </w:p>
    <w:p w:rsidR="00821619" w:rsidRDefault="00821619" w:rsidP="00821619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>- 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821619" w:rsidRDefault="00821619" w:rsidP="00821619">
      <w:pPr>
        <w:jc w:val="center"/>
      </w:pPr>
    </w:p>
    <w:p w:rsidR="00821619" w:rsidRDefault="00821619" w:rsidP="00821619">
      <w:pPr>
        <w:pStyle w:val="a6"/>
        <w:ind w:firstLine="0"/>
        <w:rPr>
          <w:b/>
        </w:rPr>
      </w:pPr>
      <w:r>
        <w:rPr>
          <w:rFonts w:eastAsia="Tahoma"/>
          <w:b/>
          <w:color w:val="000000"/>
          <w:sz w:val="24"/>
          <w:szCs w:val="24"/>
        </w:rPr>
        <w:t>Глава 1 Основная часть нормативов градостроительного проектирования</w:t>
      </w:r>
    </w:p>
    <w:p w:rsidR="00821619" w:rsidRDefault="00821619" w:rsidP="00821619">
      <w:pPr>
        <w:jc w:val="center"/>
      </w:pPr>
    </w:p>
    <w:p w:rsidR="00821619" w:rsidRDefault="00821619" w:rsidP="00821619">
      <w:pPr>
        <w:pStyle w:val="a6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lastRenderedPageBreak/>
        <w:t xml:space="preserve">Для территории муниципального района устанавливаются следующие расчетные показатели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 </w:t>
      </w:r>
      <w:r>
        <w:rPr>
          <w:rFonts w:eastAsia="Tahoma"/>
          <w:bCs/>
          <w:color w:val="000000"/>
          <w:sz w:val="24"/>
          <w:szCs w:val="24"/>
        </w:rPr>
        <w:t>местного значения муниципального района, относящимися к следующим областям</w:t>
      </w:r>
      <w:r>
        <w:rPr>
          <w:rFonts w:eastAsia="Tahoma"/>
          <w:color w:val="000000"/>
          <w:sz w:val="24"/>
          <w:szCs w:val="24"/>
        </w:rPr>
        <w:t>:</w:t>
      </w:r>
    </w:p>
    <w:p w:rsidR="00821619" w:rsidRDefault="00821619" w:rsidP="00821619">
      <w:pPr>
        <w:pStyle w:val="a6"/>
      </w:pPr>
    </w:p>
    <w:tbl>
      <w:tblPr>
        <w:tblW w:w="9227" w:type="dxa"/>
        <w:jc w:val="center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687"/>
      </w:tblGrid>
      <w:tr w:rsidR="00821619" w:rsidTr="0082161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spacing w:before="240" w:after="200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электроснабжения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газоснабжения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теплоснабжения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водоснабжения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водоотведения</w:t>
            </w:r>
          </w:p>
        </w:tc>
      </w:tr>
      <w:tr w:rsidR="00821619" w:rsidTr="00821619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связи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автомобильного транспорта: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автомобильные дороги местного значения;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пункты технического осмотра автомобилей;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парковки (парковочные места);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транспортных услуг и транспортного обслуживания населения.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образования: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организации;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организации;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организации дополнительного образования.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здравоохранения: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аптеки.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массового спорта: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спортивные залы;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плавательные бассейны;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стадионы;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плоскостные сооружения.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культуры, досуга и художественного творчества: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муниципальные библиотеки;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муниципальные музеи;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муниципальные архивы;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типа;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объекты, связанные с организацией мероприятий по работе с детьми и молодежью.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услуг общественного питания, торговли, бытового обслуживания населения и иных услуг: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магазины;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предприятия общественного питания;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предприятия бытового обслуживания;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отделения банков, операционные кассы;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гостиницы.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  <w:t>Объекты, предназначенные для утилизации и переработки бытовых и промышленных отходов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Объекты, включая земельные участки, предназначенные для организации ритуальных услуг и содержания мест захоронения: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кладбища традиционного захоронения;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кладбища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урновых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захоронений после кремации.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Места массового отдыха населения: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зоны отдыха;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речные и пляжные озера.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Городские леса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 благоустройства и озеленения территорий</w:t>
            </w:r>
          </w:p>
        </w:tc>
      </w:tr>
      <w:tr w:rsidR="00821619" w:rsidTr="008216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озелененные территории общего пользования.</w:t>
            </w:r>
          </w:p>
        </w:tc>
      </w:tr>
      <w:tr w:rsidR="00821619" w:rsidTr="0082161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жилищный фонд</w:t>
            </w:r>
          </w:p>
        </w:tc>
      </w:tr>
    </w:tbl>
    <w:p w:rsidR="00821619" w:rsidRDefault="00821619" w:rsidP="00821619">
      <w:pPr>
        <w:rPr>
          <w:sz w:val="18"/>
          <w:szCs w:val="18"/>
        </w:rPr>
      </w:pPr>
      <w:bookmarkStart w:id="0" w:name="bookmark8"/>
    </w:p>
    <w:p w:rsidR="00821619" w:rsidRDefault="00821619" w:rsidP="00821619">
      <w:pPr>
        <w:rPr>
          <w:sz w:val="18"/>
          <w:szCs w:val="18"/>
        </w:rPr>
      </w:pPr>
      <w:bookmarkStart w:id="1" w:name="_Toc393660483"/>
    </w:p>
    <w:p w:rsidR="00821619" w:rsidRDefault="00821619" w:rsidP="00821619">
      <w:pPr>
        <w:widowControl w:val="0"/>
        <w:jc w:val="both"/>
        <w:rPr>
          <w:rFonts w:ascii="Times New Roman" w:hAnsi="Times New Roman" w:cs="Times New Roman"/>
          <w:b/>
        </w:rPr>
      </w:pPr>
      <w:bookmarkStart w:id="2" w:name="bookmark9"/>
      <w:bookmarkEnd w:id="1"/>
    </w:p>
    <w:p w:rsidR="00821619" w:rsidRDefault="00821619" w:rsidP="00821619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Расчетные показатели объектов электроснабжения</w:t>
      </w:r>
      <w:bookmarkEnd w:id="2"/>
      <w:r>
        <w:rPr>
          <w:rFonts w:ascii="Times New Roman" w:hAnsi="Times New Roman" w:cs="Times New Roman"/>
          <w:b/>
        </w:rPr>
        <w:t xml:space="preserve"> </w:t>
      </w:r>
    </w:p>
    <w:p w:rsidR="00821619" w:rsidRDefault="00821619" w:rsidP="00821619">
      <w:pPr>
        <w:tabs>
          <w:tab w:val="left" w:pos="851"/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821619" w:rsidRDefault="00821619" w:rsidP="00821619">
      <w:pPr>
        <w:tabs>
          <w:tab w:val="left" w:pos="851"/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Схему электроснабжения муниципальных образований следует выбирать в зависимости от конкретных условий: географического положения и конфигурации селитебной территории, плотности электрических нагрузок и темпов их роста, количества и характеристик источников питания, исторически сложившейся существующей схемы сети и других факторов. </w:t>
      </w:r>
    </w:p>
    <w:p w:rsidR="00821619" w:rsidRDefault="00821619" w:rsidP="00821619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При разработке системы электроснабжения мощности источников и расход электроэнергии следует определять:</w:t>
      </w:r>
    </w:p>
    <w:p w:rsidR="00821619" w:rsidRDefault="00821619" w:rsidP="00821619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для промышленных и сельскохозяйственных предприятий – по заявкам действующих предприятий, проектам новых, реконструируемых или аналогичных предприятий, а также по укрупненным показателям с учетом местных особенностей;</w:t>
      </w:r>
    </w:p>
    <w:p w:rsidR="00821619" w:rsidRDefault="00821619" w:rsidP="00821619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для хозяйственно-бытовых и коммунальных нужд – в соответствии с техническими регламентами, а до их принятия – в соответствии с РД 34.20.185-94 «Инструкция по проектированию городских электрических сетей» и СП 31-110-2003.</w:t>
      </w:r>
    </w:p>
    <w:p w:rsidR="00821619" w:rsidRDefault="00821619" w:rsidP="0082161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821619" w:rsidRDefault="00821619" w:rsidP="0082161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</w:t>
      </w:r>
    </w:p>
    <w:p w:rsidR="00821619" w:rsidRDefault="00821619" w:rsidP="0082161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 Показатели по электроснабжению приведены в таблице 1.1.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18"/>
          <w:szCs w:val="18"/>
          <w:lang w:eastAsia="ru-RU"/>
        </w:rPr>
      </w:pP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1.1</w:t>
      </w:r>
    </w:p>
    <w:tbl>
      <w:tblPr>
        <w:tblW w:w="97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1"/>
        <w:gridCol w:w="2268"/>
        <w:gridCol w:w="2268"/>
      </w:tblGrid>
      <w:tr w:rsidR="00821619" w:rsidTr="00821619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1619" w:rsidTr="00821619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Населенные пункты:</w:t>
            </w:r>
          </w:p>
          <w:p w:rsidR="00821619" w:rsidRDefault="00821619">
            <w:pPr>
              <w:pStyle w:val="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</w:t>
            </w:r>
            <w:proofErr w:type="gramStart"/>
            <w:r>
              <w:rPr>
                <w:sz w:val="20"/>
                <w:szCs w:val="20"/>
              </w:rPr>
              <w:t>оборудованные</w:t>
            </w:r>
            <w:proofErr w:type="gramEnd"/>
            <w:r>
              <w:rPr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/год на 1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821619" w:rsidTr="00821619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оборудованные</w:t>
            </w:r>
            <w:proofErr w:type="gramEnd"/>
            <w:r>
              <w:rPr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821619" w:rsidTr="00821619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 (без кондиционеров)*:</w:t>
            </w:r>
          </w:p>
          <w:p w:rsidR="00821619" w:rsidRDefault="00821619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оборудованные</w:t>
            </w:r>
            <w:proofErr w:type="gramEnd"/>
            <w:r>
              <w:rPr>
                <w:sz w:val="20"/>
                <w:szCs w:val="20"/>
              </w:rPr>
              <w:t xml:space="preserve"> стационарными плитами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</w:tr>
      <w:tr w:rsidR="00821619" w:rsidTr="00821619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оборудованные стационарными плитами (100 % охвата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</w:tr>
      <w:tr w:rsidR="00821619" w:rsidTr="00821619"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40" w:hanging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</w:rPr>
              <w:t xml:space="preserve">Нормы электропотребления и использования максимума электрической нагрузки следует использовать в  целях градостроительного проектирования в качестве укрупнённых показателей электропотребления. </w:t>
            </w:r>
          </w:p>
        </w:tc>
      </w:tr>
      <w:bookmarkEnd w:id="0"/>
    </w:tbl>
    <w:p w:rsidR="00821619" w:rsidRDefault="00821619" w:rsidP="00821619">
      <w:pPr>
        <w:pStyle w:val="3"/>
        <w:shd w:val="clear" w:color="auto" w:fill="auto"/>
        <w:tabs>
          <w:tab w:val="left" w:pos="941"/>
        </w:tabs>
        <w:spacing w:line="274" w:lineRule="exact"/>
        <w:ind w:left="780" w:right="120" w:firstLine="0"/>
        <w:jc w:val="both"/>
        <w:rPr>
          <w:sz w:val="18"/>
          <w:szCs w:val="18"/>
          <w:lang w:eastAsia="ru-RU"/>
        </w:rPr>
      </w:pPr>
    </w:p>
    <w:p w:rsidR="00821619" w:rsidRDefault="00821619" w:rsidP="00821619">
      <w:pPr>
        <w:pStyle w:val="3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 допустимый уровень территориальной доступности объектов электроснабжения не нормируется, поскольку зависит от расположения центров </w:t>
      </w:r>
      <w:r>
        <w:rPr>
          <w:sz w:val="24"/>
          <w:szCs w:val="24"/>
        </w:rPr>
        <w:lastRenderedPageBreak/>
        <w:t>нагрузок и центров питания и определяется при проведении проектных работ в каждом конкретном случае.</w:t>
      </w:r>
    </w:p>
    <w:p w:rsidR="00821619" w:rsidRDefault="00821619" w:rsidP="00821619">
      <w:pPr>
        <w:pStyle w:val="3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3181"/>
        <w:gridCol w:w="3188"/>
      </w:tblGrid>
      <w:tr w:rsidR="00821619" w:rsidTr="00821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821619" w:rsidTr="00821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электроснабжения (трансформаторные подстанции, линии электропередач и т.д.) до 35 кВ включительно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 территории населенных пунктов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техническим условиям снабжающей организации</w:t>
            </w:r>
          </w:p>
        </w:tc>
      </w:tr>
    </w:tbl>
    <w:p w:rsidR="00821619" w:rsidRDefault="00821619" w:rsidP="00821619">
      <w:pPr>
        <w:rPr>
          <w:sz w:val="18"/>
          <w:szCs w:val="18"/>
          <w:highlight w:val="magenta"/>
        </w:rPr>
      </w:pPr>
    </w:p>
    <w:p w:rsidR="00821619" w:rsidRDefault="00821619" w:rsidP="00821619">
      <w:pPr>
        <w:rPr>
          <w:sz w:val="18"/>
          <w:szCs w:val="18"/>
          <w:highlight w:val="magenta"/>
        </w:rPr>
      </w:pPr>
    </w:p>
    <w:p w:rsidR="00821619" w:rsidRDefault="00821619" w:rsidP="00821619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Раздел  2  Расчетные показатели объектов  газоснабжения </w:t>
      </w:r>
    </w:p>
    <w:p w:rsidR="00821619" w:rsidRDefault="00821619" w:rsidP="00821619">
      <w:pPr>
        <w:tabs>
          <w:tab w:val="left" w:pos="0"/>
          <w:tab w:val="left" w:pos="851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821619" w:rsidRDefault="00821619" w:rsidP="00821619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Проектные решения по перспективному развитию сетей газораспределения 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должны приниматься в соответствии со схемами газоснабжения, разработанными в составе федеральной, межрегиональной и региональной программ газификации для обеспечения уровня газификации жилищно-коммунального хозяйства, промышленных и иных организаций.</w:t>
      </w:r>
    </w:p>
    <w:p w:rsidR="00821619" w:rsidRDefault="00821619" w:rsidP="00821619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Количество и параметры объектов газоснабжения зависят от объема потребления газа, рельефа местности и  иных факторов.</w:t>
      </w:r>
    </w:p>
    <w:p w:rsidR="00821619" w:rsidRDefault="00821619" w:rsidP="00821619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При разработке документов территориального планирования, согласно СП 42-101-2003, предельные значения расчетных показателей минимально допустимого уровня обеспеченности объектов газоснабжения допускается принимать по таблице 1.2.</w:t>
      </w:r>
    </w:p>
    <w:p w:rsidR="00821619" w:rsidRDefault="00821619" w:rsidP="00821619">
      <w:pPr>
        <w:pStyle w:val="a7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 суммарного расхода теплоты на жилые дома.</w:t>
      </w:r>
    </w:p>
    <w:p w:rsidR="00821619" w:rsidRDefault="00821619" w:rsidP="00821619">
      <w:pPr>
        <w:pStyle w:val="a7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821619" w:rsidRDefault="00821619" w:rsidP="00821619">
      <w:pPr>
        <w:pStyle w:val="a7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Максимально допустимый уровень территориальной доступности объектов газоснабжения не нормируется.</w:t>
      </w:r>
    </w:p>
    <w:p w:rsidR="00821619" w:rsidRDefault="00821619" w:rsidP="00821619">
      <w:pPr>
        <w:pStyle w:val="a7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Укрупнённые показатели потребления газа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1.2</w:t>
      </w:r>
    </w:p>
    <w:p w:rsidR="00821619" w:rsidRDefault="00821619" w:rsidP="0082161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3827"/>
      </w:tblGrid>
      <w:tr w:rsidR="00821619" w:rsidTr="008216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 природного газа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 *</w:t>
            </w:r>
          </w:p>
        </w:tc>
      </w:tr>
      <w:tr w:rsidR="00821619" w:rsidTr="008216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наличии централизованного горячего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21619" w:rsidTr="008216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горячем водоснабжении от газовых водонагревателей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21619" w:rsidTr="008216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отсутствии всяких видов горячего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</w:t>
            </w:r>
          </w:p>
        </w:tc>
      </w:tr>
      <w:tr w:rsidR="00821619" w:rsidTr="0082161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 Укрупненные показатели потребления газа (при теплоте сгорания газа 34 МДж/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(8000 Ккал/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))</w:t>
            </w:r>
          </w:p>
        </w:tc>
      </w:tr>
    </w:tbl>
    <w:p w:rsidR="00821619" w:rsidRDefault="00821619" w:rsidP="0082161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821619" w:rsidRDefault="00821619" w:rsidP="0082161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821619" w:rsidRDefault="00821619" w:rsidP="00821619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3" w:name="bookmark10"/>
      <w:r>
        <w:rPr>
          <w:rFonts w:ascii="Times New Roman" w:eastAsia="Times New Roman" w:hAnsi="Times New Roman" w:cs="Times New Roman"/>
          <w:b/>
          <w:color w:val="auto"/>
          <w:lang w:eastAsia="en-US"/>
        </w:rPr>
        <w:t>Раздел 3 Расчетные показатели  объектов теплоснабжения</w:t>
      </w:r>
      <w:bookmarkEnd w:id="3"/>
    </w:p>
    <w:p w:rsidR="00821619" w:rsidRDefault="00821619" w:rsidP="00821619">
      <w:pPr>
        <w:pStyle w:val="aa"/>
        <w:shd w:val="clear" w:color="auto" w:fill="auto"/>
        <w:spacing w:line="240" w:lineRule="auto"/>
        <w:jc w:val="center"/>
        <w:rPr>
          <w:sz w:val="18"/>
          <w:szCs w:val="18"/>
          <w:lang w:eastAsia="ru-RU"/>
        </w:rPr>
      </w:pP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Теплоснабжение жилой и общественной застройки следует предусматривать:</w:t>
      </w:r>
    </w:p>
    <w:p w:rsidR="00821619" w:rsidRDefault="00821619" w:rsidP="00821619">
      <w:pPr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централизованное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- от котельных, ТЭЦ;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децентрализованное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- от автономных,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крышных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котельных, квартирных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теплогенераторов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 отсутствии схемы теплоснабжения на территориях одно-, двухэтажной жилой застройки с плотностью населения 40 чел./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га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и выше теплоснабжение допускается предусматривать от котельных на группу жилых и общественных зданий.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Для жилой застройки и нежилых зон следует применять раздельные тепловые сети, идущие непосредственно от источника теплоснабжения.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На территории малоэтажной застройки для целей отопления и горячего водоснабжения, как правило, следует предусматривать индивидуальные источники тепла на газовом топливе, устанавливать газовые плиты.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Расчетные часовые расходы тепла жилых зданий определены согласно приложению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СП 124.13330.2012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41-02-2003 «Тепловые сети». Расчетная температура наружного воздуха для проектирования отопления принята минус 35 °C согласно графе 5 таблицы 3.1 «СП 131.13330.2012. Строительная климатология</w:t>
      </w:r>
      <w:r>
        <w:t>».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Показатели минимально допустимого уровня обеспеченности объектами теплоснабжения - расчетные тепловые нагрузки при проектировании тепловых сетей определяются по данным конкретных проектов нового строительства, а существующей - по фактическим тепловым нагрузкам. 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Максимально допустимый уровень территориальной доступности объектов теплоснабжения не нормируется.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Показатели по теплоснабжению приведены в таблице 1.3. 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1.3</w:t>
      </w:r>
    </w:p>
    <w:p w:rsidR="00821619" w:rsidRDefault="00821619" w:rsidP="00821619">
      <w:pPr>
        <w:pStyle w:val="aa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0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0"/>
        <w:gridCol w:w="3277"/>
        <w:gridCol w:w="3278"/>
      </w:tblGrid>
      <w:tr w:rsidR="00821619" w:rsidTr="00821619">
        <w:trPr>
          <w:trHeight w:val="20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жилых зданий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821619" w:rsidTr="008216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pBdr>
                <w:top w:val="single" w:sz="4" w:space="0" w:color="auto"/>
              </w:pBdr>
              <w:spacing w:before="100" w:beforeAutospacing="1" w:after="100" w:afterAutospacing="1"/>
              <w:ind w:firstLine="0"/>
              <w:jc w:val="left"/>
              <w:textAlignment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1-3-этажные одноквартирные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отдельностоящие</w:t>
            </w:r>
            <w:proofErr w:type="spellEnd"/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821619" w:rsidRDefault="0082161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Удельные показатели максимальной тепловой нагрузки на отопление жилых домов *, </w:t>
            </w:r>
          </w:p>
          <w:p w:rsidR="00821619" w:rsidRDefault="0082161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Вт/ м</w:t>
            </w:r>
            <w:proofErr w:type="gramStart"/>
            <w:r>
              <w:rPr>
                <w:sz w:val="20"/>
                <w:lang w:eastAsia="en-US"/>
              </w:rPr>
              <w:t>2</w:t>
            </w:r>
            <w:proofErr w:type="gramEnd"/>
            <w:r>
              <w:rPr>
                <w:sz w:val="20"/>
                <w:lang w:eastAsia="en-US"/>
              </w:rPr>
              <w:t xml:space="preserve">  общей площади</w:t>
            </w:r>
          </w:p>
          <w:p w:rsidR="00821619" w:rsidRDefault="00821619">
            <w:pPr>
              <w:pStyle w:val="11"/>
              <w:shd w:val="clear" w:color="auto" w:fill="auto"/>
              <w:spacing w:after="10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</w:tr>
      <w:tr w:rsidR="00821619" w:rsidTr="008216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spacing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2-3-этажные одноквартирные блокированные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</w:tr>
      <w:tr w:rsidR="00821619" w:rsidTr="00821619">
        <w:trPr>
          <w:trHeight w:val="21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spacing w:after="20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4-6-этажные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</w:tr>
      <w:tr w:rsidR="00821619" w:rsidTr="00821619">
        <w:trPr>
          <w:trHeight w:val="219"/>
        </w:trPr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  <w:r>
              <w:rPr>
                <w:rFonts w:eastAsia="Times New Roman"/>
                <w:sz w:val="20"/>
                <w:szCs w:val="20"/>
              </w:rPr>
              <w:t>для зданий  строительства после 2015 г.</w:t>
            </w:r>
          </w:p>
        </w:tc>
      </w:tr>
    </w:tbl>
    <w:p w:rsidR="00821619" w:rsidRDefault="00821619" w:rsidP="00821619">
      <w:pPr>
        <w:pStyle w:val="aa"/>
        <w:shd w:val="clear" w:color="auto" w:fill="auto"/>
        <w:spacing w:line="240" w:lineRule="auto"/>
        <w:rPr>
          <w:sz w:val="24"/>
          <w:szCs w:val="24"/>
        </w:rPr>
      </w:pPr>
    </w:p>
    <w:p w:rsidR="00821619" w:rsidRDefault="00821619" w:rsidP="00821619">
      <w:pPr>
        <w:pStyle w:val="aa"/>
        <w:shd w:val="clear" w:color="auto" w:fill="auto"/>
        <w:spacing w:line="240" w:lineRule="auto"/>
        <w:jc w:val="center"/>
        <w:rPr>
          <w:sz w:val="18"/>
          <w:szCs w:val="18"/>
          <w:lang w:eastAsia="ru-RU"/>
        </w:rPr>
      </w:pPr>
    </w:p>
    <w:p w:rsidR="00821619" w:rsidRDefault="00821619" w:rsidP="00821619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4" w:name="bookmark11"/>
      <w:r>
        <w:rPr>
          <w:rFonts w:ascii="Times New Roman" w:eastAsia="Times New Roman" w:hAnsi="Times New Roman" w:cs="Times New Roman"/>
          <w:b/>
          <w:color w:val="auto"/>
          <w:lang w:eastAsia="en-US"/>
        </w:rPr>
        <w:t>Раздел 4. Расчетные показатели  объектов водоснабжения</w:t>
      </w:r>
      <w:bookmarkEnd w:id="4"/>
    </w:p>
    <w:p w:rsidR="00821619" w:rsidRDefault="00821619" w:rsidP="00821619">
      <w:pPr>
        <w:pStyle w:val="aa"/>
        <w:shd w:val="clear" w:color="auto" w:fill="auto"/>
        <w:spacing w:line="240" w:lineRule="auto"/>
        <w:jc w:val="center"/>
        <w:rPr>
          <w:sz w:val="18"/>
          <w:szCs w:val="18"/>
          <w:lang w:eastAsia="ru-RU"/>
        </w:rPr>
      </w:pPr>
    </w:p>
    <w:p w:rsidR="00821619" w:rsidRDefault="00821619" w:rsidP="00821619">
      <w:pPr>
        <w:pStyle w:val="3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</w:rPr>
      </w:pPr>
      <w:r>
        <w:rPr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821619" w:rsidRDefault="00821619" w:rsidP="00821619">
      <w:pPr>
        <w:pStyle w:val="3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22.07.2008г. № 123-ФЗ), СП 5.13130, СП</w:t>
      </w:r>
      <w:proofErr w:type="gramEnd"/>
      <w:r>
        <w:rPr>
          <w:sz w:val="24"/>
          <w:szCs w:val="24"/>
        </w:rPr>
        <w:t xml:space="preserve"> 8.13130, СП 10.13130, а также настоящими нормативами.</w:t>
      </w:r>
    </w:p>
    <w:p w:rsidR="00821619" w:rsidRDefault="00821619" w:rsidP="00821619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Удельное хозяйственно-питьевое водопотребление объектов в населенных пунктах определяется в соответствии с СП 30.13330.2012 «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СНиП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2.04.01-85* Внутренний водопровод и канализация зданий", СП 42.13330.2016 Градостроительство. Планировка и застройка городских и сельских поселений.</w:t>
      </w:r>
    </w:p>
    <w:p w:rsidR="00821619" w:rsidRDefault="00821619" w:rsidP="00821619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м</w:t>
      </w:r>
      <w:proofErr w:type="gramStart"/>
      <w:r>
        <w:rPr>
          <w:rFonts w:ascii="Times New Roman" w:hAnsi="Times New Roman" w:cs="Times New Roman"/>
          <w:color w:val="auto"/>
          <w:lang w:eastAsia="en-US"/>
        </w:rPr>
        <w:t>2</w:t>
      </w:r>
      <w:proofErr w:type="gramEnd"/>
      <w:r>
        <w:rPr>
          <w:rFonts w:ascii="Times New Roman" w:hAnsi="Times New Roman" w:cs="Times New Roman"/>
          <w:color w:val="auto"/>
          <w:lang w:eastAsia="en-US"/>
        </w:rPr>
        <w:t xml:space="preserve"> жилой застройки.</w:t>
      </w:r>
    </w:p>
    <w:p w:rsidR="00821619" w:rsidRDefault="00821619" w:rsidP="00821619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>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поселения.</w:t>
      </w:r>
    </w:p>
    <w:p w:rsidR="00821619" w:rsidRDefault="00821619" w:rsidP="00821619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821619" w:rsidRDefault="00821619" w:rsidP="00821619">
      <w:pPr>
        <w:ind w:firstLine="58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821619" w:rsidRDefault="00821619" w:rsidP="00821619">
      <w:pPr>
        <w:ind w:firstLine="5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 допустимый уровень территориальной доступности объектов водоснабжения  не нормируется.</w:t>
      </w:r>
    </w:p>
    <w:p w:rsidR="00821619" w:rsidRDefault="00821619" w:rsidP="00821619">
      <w:pPr>
        <w:ind w:firstLine="5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по водопотреблению приведены в таблице 1.4.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1.4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18"/>
          <w:szCs w:val="18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9"/>
        <w:gridCol w:w="3969"/>
      </w:tblGrid>
      <w:tr w:rsidR="00821619" w:rsidTr="00821619">
        <w:trPr>
          <w:trHeight w:val="26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left="120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21619" w:rsidTr="00821619">
        <w:trPr>
          <w:trHeight w:val="84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Застройка зданиями, оборудованными внутренним водопроводом и канализацией: </w:t>
            </w:r>
          </w:p>
          <w:p w:rsidR="00821619" w:rsidRDefault="00821619">
            <w:pPr>
              <w:pStyle w:val="3"/>
              <w:shd w:val="clear" w:color="auto" w:fill="auto"/>
              <w:spacing w:line="278" w:lineRule="exact"/>
              <w:ind w:left="120"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ванн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125-160</w:t>
            </w:r>
          </w:p>
        </w:tc>
      </w:tr>
      <w:tr w:rsidR="00821619" w:rsidTr="00821619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20"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ванными и местными водонагревателями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160-230</w:t>
            </w:r>
          </w:p>
        </w:tc>
      </w:tr>
      <w:tr w:rsidR="00821619" w:rsidTr="00821619">
        <w:trPr>
          <w:trHeight w:val="2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83" w:lineRule="exact"/>
              <w:ind w:left="120"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централизованным горячим водоснабжением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230-350</w:t>
            </w:r>
          </w:p>
        </w:tc>
      </w:tr>
      <w:tr w:rsidR="00821619" w:rsidTr="00821619">
        <w:trPr>
          <w:trHeight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134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11"/>
              <w:shd w:val="clear" w:color="auto" w:fill="auto"/>
              <w:spacing w:after="0" w:line="240" w:lineRule="auto"/>
              <w:ind w:left="26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</w:tr>
    </w:tbl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>Примечания: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>1.Удельное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питьевые нужды населенного пункта.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821619" w:rsidRDefault="00821619" w:rsidP="0082161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821619" w:rsidRDefault="00821619" w:rsidP="0082161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4.Для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821619" w:rsidRDefault="00821619" w:rsidP="0082161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5. Конкретное значение нормы удельного хозяйственно-питьевого водопотребления принимается на основании постановлений органов местной самоуправления.</w:t>
      </w:r>
    </w:p>
    <w:p w:rsidR="00821619" w:rsidRDefault="00821619" w:rsidP="00821619">
      <w:pPr>
        <w:rPr>
          <w:rFonts w:ascii="Times New Roman" w:hAnsi="Times New Roman" w:cs="Times New Roman"/>
          <w:b/>
          <w:color w:val="auto"/>
          <w:lang w:eastAsia="en-US"/>
        </w:rPr>
      </w:pPr>
      <w:bookmarkStart w:id="5" w:name="bookmark12"/>
    </w:p>
    <w:p w:rsidR="00821619" w:rsidRDefault="00821619" w:rsidP="00821619">
      <w:pPr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>Раздел 5  Расчетные показатели  объектов водоотведения</w:t>
      </w:r>
      <w:bookmarkEnd w:id="5"/>
    </w:p>
    <w:p w:rsidR="00821619" w:rsidRDefault="00821619" w:rsidP="00821619">
      <w:pPr>
        <w:rPr>
          <w:rFonts w:ascii="Times New Roman" w:hAnsi="Times New Roman" w:cs="Times New Roman"/>
        </w:rPr>
      </w:pPr>
    </w:p>
    <w:p w:rsidR="00821619" w:rsidRDefault="00821619" w:rsidP="00821619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Проектирование систем канализации населенных пунктов следует производить в соответствии с требованиями:</w:t>
      </w:r>
    </w:p>
    <w:p w:rsidR="00821619" w:rsidRDefault="00821619" w:rsidP="00821619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Водного кодекса Российской Федерации;</w:t>
      </w:r>
    </w:p>
    <w:p w:rsidR="00821619" w:rsidRDefault="00821619" w:rsidP="00821619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СП 30.13330.2012 «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СНиП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2.04.01-85* Внутренний водопровод и канализация зданий»;</w:t>
      </w:r>
    </w:p>
    <w:p w:rsidR="00821619" w:rsidRDefault="00821619" w:rsidP="00821619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СП 32.13330.2012 Канализация. Наружные сети и сооружения;</w:t>
      </w:r>
    </w:p>
    <w:p w:rsidR="00821619" w:rsidRDefault="00821619" w:rsidP="00821619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СП 42.13330.2016 Градостроительство. Планировка и застройка городских и сельских поселений;</w:t>
      </w:r>
    </w:p>
    <w:p w:rsidR="00821619" w:rsidRDefault="00821619" w:rsidP="00821619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СанПиН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2.1.5.980-00 Гигиенические требования к охране поверхностных вод;</w:t>
      </w:r>
    </w:p>
    <w:p w:rsidR="00821619" w:rsidRDefault="00821619" w:rsidP="00821619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СанПиН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821619" w:rsidRDefault="00821619" w:rsidP="00821619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При проектировании стока поверхностных вод следует руководствоваться требованиями СП 32.13330.2012, СП 42.13330.2011, </w:t>
      </w:r>
      <w:proofErr w:type="spellStart"/>
      <w:r>
        <w:rPr>
          <w:rFonts w:ascii="Times New Roman" w:hAnsi="Times New Roman" w:cs="Times New Roman"/>
          <w:color w:val="auto"/>
          <w:lang w:eastAsia="en-US"/>
        </w:rPr>
        <w:t>СанПиН</w:t>
      </w:r>
      <w:proofErr w:type="spellEnd"/>
      <w:r>
        <w:rPr>
          <w:rFonts w:ascii="Times New Roman" w:hAnsi="Times New Roman" w:cs="Times New Roman"/>
          <w:color w:val="auto"/>
          <w:lang w:eastAsia="en-US"/>
        </w:rPr>
        <w:t xml:space="preserve"> 2.1.5.980-00.</w:t>
      </w:r>
    </w:p>
    <w:p w:rsidR="00821619" w:rsidRDefault="00821619" w:rsidP="00821619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водоотведения.</w:t>
      </w:r>
    </w:p>
    <w:p w:rsidR="00821619" w:rsidRDefault="00821619" w:rsidP="00821619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расчетному удельному среднесуточному (за год) водопотреблению согласно таблице 1.4, без учета расхода воды на полив территорий и зеленых насаждений.</w:t>
      </w:r>
      <w:r>
        <w:rPr>
          <w:rFonts w:ascii="Times New Roman" w:hAnsi="Times New Roman" w:cs="Times New Roman"/>
        </w:rPr>
        <w:t xml:space="preserve"> 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821619" w:rsidRDefault="00821619" w:rsidP="00821619">
      <w:pPr>
        <w:pStyle w:val="aa"/>
        <w:shd w:val="clear" w:color="auto" w:fill="auto"/>
        <w:spacing w:line="240" w:lineRule="auto"/>
        <w:ind w:firstLine="709"/>
        <w:rPr>
          <w:sz w:val="24"/>
          <w:szCs w:val="24"/>
          <w:lang w:eastAsia="ru-RU"/>
        </w:rPr>
      </w:pPr>
    </w:p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6. Расчетные показатели объектов связи</w:t>
      </w:r>
    </w:p>
    <w:p w:rsidR="00821619" w:rsidRDefault="00821619" w:rsidP="00821619">
      <w:pPr>
        <w:rPr>
          <w:rFonts w:ascii="Times New Roman" w:hAnsi="Times New Roman" w:cs="Times New Roman"/>
          <w:b/>
        </w:rPr>
      </w:pPr>
    </w:p>
    <w:p w:rsidR="00821619" w:rsidRDefault="00821619" w:rsidP="00821619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Рациональными нормами потребления средств и услуг стационарной телефонной связи, подвижной радиотелефонной услуги связи  приняты следующие: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один телефон на семью, на квартиру, на одно домохозяйство.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Рациональной нормой обеспечения населения равным доступом к информационно-телекоммуникационной сети «Интернет»  принято следующее: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возможность подключения услуги «предоставление доступа в Интернет» на одну семью, одну на квартиру, на одно домохозяйство.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Определение нагрузки радиотрансляционной сети для каждого населенного пункта принято из расчета: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на 100% охват всех семей радиовещанием с учетом перспективы развития населенного пункта;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общественный сектор –20% от квартирного сектора;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 уличные громкоговорители: 1 громкоговоритель 10вт на 2000 жителей эквивалентен 40 радиоточкам.</w:t>
      </w:r>
    </w:p>
    <w:p w:rsidR="00821619" w:rsidRDefault="00821619" w:rsidP="00821619">
      <w:pPr>
        <w:pStyle w:val="11"/>
        <w:shd w:val="clear" w:color="auto" w:fill="auto"/>
        <w:spacing w:after="134" w:line="240" w:lineRule="auto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821619" w:rsidRDefault="00821619" w:rsidP="00821619">
      <w:pPr>
        <w:pStyle w:val="11"/>
        <w:shd w:val="clear" w:color="auto" w:fill="auto"/>
        <w:spacing w:after="134" w:line="240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объектам связи приведены в таблице 1.5.</w:t>
      </w:r>
    </w:p>
    <w:p w:rsidR="00821619" w:rsidRDefault="00821619" w:rsidP="00821619">
      <w:pPr>
        <w:pStyle w:val="aa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1.5</w:t>
      </w: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1853"/>
        <w:gridCol w:w="2982"/>
        <w:gridCol w:w="4394"/>
      </w:tblGrid>
      <w:tr w:rsidR="00821619" w:rsidTr="00821619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34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Максимально допустимый уровень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территориальной доступности</w:t>
            </w:r>
          </w:p>
        </w:tc>
      </w:tr>
      <w:tr w:rsidR="00821619" w:rsidTr="00821619">
        <w:trPr>
          <w:trHeight w:val="2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почтовой связи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 объекта на поселение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Пешеходно-транспортная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доступность - не менее 500 м </w:t>
            </w:r>
          </w:p>
        </w:tc>
      </w:tr>
      <w:tr w:rsidR="00821619" w:rsidTr="00821619">
        <w:trPr>
          <w:trHeight w:val="2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Пешеходно-транспортная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доступность - не менее 15 мин  </w:t>
            </w:r>
          </w:p>
        </w:tc>
      </w:tr>
    </w:tbl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Максимально допустимый уровень территориальной доступности других объектов связи не нормируется.</w:t>
      </w:r>
    </w:p>
    <w:p w:rsidR="00821619" w:rsidRDefault="00821619" w:rsidP="0082161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Показатели по объектам связи приведены в таблице 1.5.1</w:t>
      </w:r>
    </w:p>
    <w:p w:rsidR="00821619" w:rsidRDefault="00821619" w:rsidP="00821619">
      <w:pPr>
        <w:pStyle w:val="11"/>
        <w:shd w:val="clear" w:color="auto" w:fill="auto"/>
        <w:spacing w:after="134" w:line="240" w:lineRule="auto"/>
        <w:ind w:left="20" w:firstLine="406"/>
        <w:jc w:val="right"/>
        <w:rPr>
          <w:sz w:val="24"/>
          <w:szCs w:val="24"/>
        </w:rPr>
      </w:pPr>
      <w:r>
        <w:rPr>
          <w:sz w:val="24"/>
          <w:szCs w:val="24"/>
        </w:rPr>
        <w:t>Таблице 1.5.1</w:t>
      </w:r>
    </w:p>
    <w:tbl>
      <w:tblPr>
        <w:tblW w:w="967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284"/>
        <w:gridCol w:w="2552"/>
        <w:gridCol w:w="1683"/>
        <w:gridCol w:w="2153"/>
      </w:tblGrid>
      <w:tr w:rsidR="00821619" w:rsidTr="00821619">
        <w:trPr>
          <w:trHeight w:val="60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Расчетные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Площадь участка 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единицу измерения</w:t>
            </w:r>
          </w:p>
        </w:tc>
      </w:tr>
      <w:tr w:rsidR="00821619" w:rsidTr="00821619">
        <w:trPr>
          <w:trHeight w:val="4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Отделение почтовой связи 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 микрорайон)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 на 9 - 25 тысяч жителей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на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микрорайон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700 - 1200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:rsidR="00821619" w:rsidRDefault="00821619" w:rsidP="00821619">
      <w:pPr>
        <w:rPr>
          <w:rFonts w:ascii="TimesNewRomanPSMT" w:hAnsi="TimesNewRomanPSMT" w:cs="TimesNewRomanPSMT"/>
          <w:b/>
        </w:rPr>
      </w:pPr>
    </w:p>
    <w:p w:rsidR="00821619" w:rsidRDefault="00821619" w:rsidP="00821619">
      <w:pPr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Раздел 7. Расчетные показатели объектов автомобильного транспорта</w:t>
      </w:r>
    </w:p>
    <w:p w:rsidR="00821619" w:rsidRDefault="00821619" w:rsidP="00821619">
      <w:pPr>
        <w:rPr>
          <w:rFonts w:ascii="Times New Roman" w:hAnsi="Times New Roman" w:cs="Times New Roman"/>
        </w:rPr>
      </w:pPr>
    </w:p>
    <w:p w:rsidR="00821619" w:rsidRDefault="00821619" w:rsidP="008216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Параметры сети общественного транспорта установлены в соответствии с  СП</w:t>
      </w:r>
    </w:p>
    <w:p w:rsidR="00821619" w:rsidRDefault="00821619" w:rsidP="008216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42.13330.2016 Градостроительство. Планировка и застройка </w:t>
      </w:r>
      <w:proofErr w:type="gramStart"/>
      <w:r>
        <w:rPr>
          <w:rFonts w:ascii="Times New Roman" w:hAnsi="Times New Roman" w:cs="Times New Roman"/>
        </w:rPr>
        <w:t>городских</w:t>
      </w:r>
      <w:proofErr w:type="gramEnd"/>
      <w:r>
        <w:rPr>
          <w:rFonts w:ascii="Times New Roman" w:hAnsi="Times New Roman" w:cs="Times New Roman"/>
        </w:rPr>
        <w:t xml:space="preserve"> и сельских</w:t>
      </w:r>
    </w:p>
    <w:p w:rsidR="00821619" w:rsidRDefault="00821619" w:rsidP="008216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населенных пунктов (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11.14 – 11.16). Предполагается организация остановочных пунктов в каждом населенном пункте.</w:t>
      </w:r>
    </w:p>
    <w:p w:rsidR="00821619" w:rsidRDefault="00821619" w:rsidP="008216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обслуживания. </w:t>
      </w:r>
    </w:p>
    <w:p w:rsidR="00821619" w:rsidRDefault="00821619" w:rsidP="008216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Дальность пешеходных подходов до ближайшей остановки общественного пассажирского транспорта в пределах населенного пункта </w:t>
      </w:r>
      <w:bookmarkStart w:id="6" w:name="bookmark99"/>
      <w:r>
        <w:rPr>
          <w:rFonts w:ascii="Times New Roman" w:eastAsia="Times New Roman" w:hAnsi="Times New Roman" w:cs="Times New Roman"/>
        </w:rPr>
        <w:t>в климатической зоне I IB = 500 м (время подхода к остановке составляет порядка 30 минут).</w:t>
      </w:r>
      <w:bookmarkEnd w:id="6"/>
    </w:p>
    <w:p w:rsidR="00821619" w:rsidRDefault="00821619" w:rsidP="00821619">
      <w:pPr>
        <w:pStyle w:val="41"/>
        <w:shd w:val="clear" w:color="auto" w:fill="auto"/>
        <w:spacing w:after="56" w:line="274" w:lineRule="exact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Остановочные площадки автобусов, как правило, должны размещаться за перекрестками или за наземными пешеходными переходами на расстоянии соответственно не менее 25 и 5 м, согласно требованиям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52766-2007 Дороги автомобильные общего пользования. Элементы обустройства. Общие требования.</w:t>
      </w:r>
    </w:p>
    <w:p w:rsidR="00821619" w:rsidRDefault="00821619" w:rsidP="00821619">
      <w:pPr>
        <w:pStyle w:val="41"/>
        <w:shd w:val="clear" w:color="auto" w:fill="auto"/>
        <w:spacing w:after="64" w:line="278" w:lineRule="exact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Длину остановочной площадки принимают в зависимости от одновременно стоящих транспортных средств из расчета 20 м на один автобус, но не более 60 м.</w:t>
      </w:r>
    </w:p>
    <w:p w:rsidR="00821619" w:rsidRDefault="00821619" w:rsidP="00821619">
      <w:pPr>
        <w:pStyle w:val="3"/>
        <w:shd w:val="clear" w:color="auto" w:fill="auto"/>
        <w:spacing w:before="25" w:line="317" w:lineRule="exact"/>
        <w:ind w:left="20" w:right="20" w:firstLine="709"/>
        <w:jc w:val="right"/>
      </w:pPr>
      <w:r>
        <w:t>Таблица 7</w:t>
      </w:r>
    </w:p>
    <w:p w:rsidR="00821619" w:rsidRDefault="00821619" w:rsidP="00821619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567"/>
        <w:gridCol w:w="2551"/>
        <w:gridCol w:w="1418"/>
        <w:gridCol w:w="2551"/>
      </w:tblGrid>
      <w:tr w:rsidR="00821619" w:rsidTr="00821619">
        <w:trPr>
          <w:trHeight w:val="5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273"/>
        </w:trPr>
        <w:tc>
          <w:tcPr>
            <w:tcW w:w="9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28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 на 1 кв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50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Парковки (парковочные места)*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1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на 1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м</w:t>
            </w:r>
          </w:p>
        </w:tc>
      </w:tr>
      <w:tr w:rsidR="00821619" w:rsidTr="00821619">
        <w:trPr>
          <w:trHeight w:val="51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aa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- не распространяется на индивидуальную жилую застройку с индивидуальными гаражами на приусадебном участке.</w:t>
            </w:r>
          </w:p>
        </w:tc>
      </w:tr>
    </w:tbl>
    <w:p w:rsidR="00821619" w:rsidRDefault="00821619" w:rsidP="00821619"/>
    <w:p w:rsidR="00821619" w:rsidRDefault="00821619" w:rsidP="00821619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срок. Показатели перспективного уровня автомобилизации для дифференцированных групп муниципальных образований представлены  в таблице 7.1.</w:t>
      </w:r>
    </w:p>
    <w:p w:rsidR="00821619" w:rsidRDefault="00821619" w:rsidP="00821619">
      <w:pPr>
        <w:pStyle w:val="41"/>
        <w:shd w:val="clear" w:color="auto" w:fill="auto"/>
        <w:spacing w:after="60" w:line="274" w:lineRule="exact"/>
        <w:ind w:left="4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автомобилизации муниципальных образований </w:t>
      </w:r>
    </w:p>
    <w:p w:rsidR="00821619" w:rsidRDefault="00821619" w:rsidP="00821619">
      <w:pPr>
        <w:pStyle w:val="41"/>
        <w:shd w:val="clear" w:color="auto" w:fill="auto"/>
        <w:spacing w:after="60" w:line="274" w:lineRule="exact"/>
        <w:ind w:left="40" w:right="20" w:firstLine="560"/>
        <w:jc w:val="right"/>
        <w:rPr>
          <w:sz w:val="24"/>
          <w:szCs w:val="24"/>
        </w:rPr>
      </w:pPr>
      <w:r>
        <w:rPr>
          <w:sz w:val="24"/>
          <w:szCs w:val="24"/>
        </w:rPr>
        <w:t>Таблица 7.1</w:t>
      </w:r>
    </w:p>
    <w:p w:rsidR="00821619" w:rsidRDefault="00821619" w:rsidP="00821619">
      <w:pPr>
        <w:pStyle w:val="aa"/>
        <w:shd w:val="clear" w:color="auto" w:fill="auto"/>
        <w:spacing w:line="22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2268"/>
        <w:gridCol w:w="1984"/>
        <w:gridCol w:w="2835"/>
      </w:tblGrid>
      <w:tr w:rsidR="00821619" w:rsidTr="00821619">
        <w:trPr>
          <w:trHeight w:val="1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 грузовых авто /1000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</w:t>
            </w:r>
          </w:p>
          <w:p w:rsidR="00821619" w:rsidRDefault="0082161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мототранспорта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 1000 жителей</w:t>
            </w:r>
          </w:p>
        </w:tc>
      </w:tr>
      <w:tr w:rsidR="00821619" w:rsidTr="00821619"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Тарбагатайский 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821619" w:rsidTr="00821619"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41"/>
              <w:shd w:val="clear" w:color="auto" w:fill="auto"/>
              <w:spacing w:line="240" w:lineRule="auto"/>
              <w:ind w:left="20" w:right="20" w:hanging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сельских поселений 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уровень автомобилизации следует принимать в размере 2/3 от значений,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приведенных в таблице.</w:t>
            </w:r>
          </w:p>
        </w:tc>
      </w:tr>
    </w:tbl>
    <w:p w:rsidR="00821619" w:rsidRDefault="00821619" w:rsidP="00821619"/>
    <w:p w:rsidR="00821619" w:rsidRDefault="00821619" w:rsidP="00821619">
      <w:pPr>
        <w:jc w:val="both"/>
      </w:pPr>
      <w:r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</w:t>
      </w:r>
      <w:r>
        <w:rPr>
          <w:rFonts w:ascii="TimesNewRomanPSMT" w:hAnsi="TimesNewRomanPSMT" w:cs="TimesNewRomanPSMT"/>
          <w:b/>
          <w:highlight w:val="yellow"/>
        </w:rPr>
        <w:t xml:space="preserve"> </w:t>
      </w:r>
      <w:r>
        <w:rPr>
          <w:rFonts w:ascii="Times New Roman" w:hAnsi="Times New Roman" w:cs="Times New Roman"/>
        </w:rPr>
        <w:t>автомобильного транспорта и расчетные показатели максимально допустимого уровня территориальной доступности объектов представлены в таблице 7.2.</w:t>
      </w:r>
    </w:p>
    <w:p w:rsidR="00821619" w:rsidRDefault="00821619" w:rsidP="00821619"/>
    <w:p w:rsidR="00821619" w:rsidRDefault="00821619" w:rsidP="008216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7.2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0"/>
        <w:gridCol w:w="3119"/>
        <w:gridCol w:w="2835"/>
      </w:tblGrid>
      <w:tr w:rsidR="00821619" w:rsidTr="00821619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821619" w:rsidTr="008216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Автомобильные дороги местного значения вне границ населенных пунктов в границах муниципального образования с твердым покрытием вяжущими материалами)</w:t>
            </w:r>
            <w:proofErr w:type="gramEnd"/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50% общей протяженности автомобильных дорог местного значения вне границ населенных пунктов в границах муниципального района с твердым покрытием, находящимся на балансе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821619" w:rsidTr="008216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 (наземный, надземный, подземный)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Разделительное ограждение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28 объектов для дорог местного значения, главных и основных улиц с усовершенствованным покрытием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Определяется проектом на каждые 600 метров улично-дорожной сети</w:t>
            </w:r>
          </w:p>
        </w:tc>
      </w:tr>
      <w:tr w:rsidR="00821619" w:rsidTr="008216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остановки с элементами по ГОСТ 218.1.002-2003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ind w:firstLine="0"/>
              <w:jc w:val="left"/>
              <w:rPr>
                <w:sz w:val="20"/>
                <w:szCs w:val="20"/>
                <w:highlight w:val="cyan"/>
              </w:rPr>
            </w:pPr>
            <w:proofErr w:type="gramStart"/>
            <w:r>
              <w:rPr>
                <w:sz w:val="20"/>
                <w:szCs w:val="20"/>
              </w:rPr>
              <w:t xml:space="preserve">Не менее 2-х автобусных остановок для автобусов, маршрутных такси) движущихся в противоположных направлениях, смещенных по ходу движения на расстояние не менее 30 м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Пешеходная доступность не более 30 мин. </w:t>
            </w:r>
          </w:p>
          <w:p w:rsidR="00821619" w:rsidRDefault="0082161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обслуживания не более 500 м.</w:t>
            </w:r>
          </w:p>
        </w:tc>
      </w:tr>
    </w:tbl>
    <w:p w:rsidR="00821619" w:rsidRDefault="00821619" w:rsidP="00821619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rStyle w:val="30"/>
          <w:rFonts w:eastAsia="Calibri"/>
          <w:sz w:val="24"/>
          <w:szCs w:val="24"/>
          <w:lang w:eastAsia="en-US"/>
        </w:rPr>
      </w:pPr>
      <w:r>
        <w:rPr>
          <w:rStyle w:val="30"/>
          <w:rFonts w:eastAsia="Calibri"/>
          <w:color w:val="auto"/>
          <w:sz w:val="24"/>
          <w:szCs w:val="24"/>
          <w:lang w:eastAsia="en-US"/>
        </w:rPr>
        <w:t xml:space="preserve">Основные параметры проектирования объектов транспортного обслуживания представлены в </w:t>
      </w:r>
      <w:bookmarkStart w:id="7" w:name="bookmark143"/>
      <w:r>
        <w:rPr>
          <w:rStyle w:val="30"/>
          <w:rFonts w:eastAsia="Calibri"/>
          <w:color w:val="auto"/>
          <w:sz w:val="24"/>
          <w:szCs w:val="24"/>
          <w:lang w:eastAsia="en-US"/>
        </w:rPr>
        <w:t xml:space="preserve">таблице 7.3 </w:t>
      </w:r>
      <w:bookmarkEnd w:id="7"/>
    </w:p>
    <w:p w:rsidR="00821619" w:rsidRDefault="00821619" w:rsidP="00821619">
      <w:pPr>
        <w:spacing w:line="190" w:lineRule="exact"/>
        <w:jc w:val="center"/>
        <w:rPr>
          <w:rStyle w:val="30"/>
          <w:rFonts w:eastAsia="Calibri"/>
        </w:rPr>
      </w:pPr>
      <w:r>
        <w:rPr>
          <w:rStyle w:val="30"/>
          <w:rFonts w:eastAsia="Calibri"/>
        </w:rPr>
        <w:t>Основные параметры проектирования объектов транспортного обслуживания</w:t>
      </w:r>
    </w:p>
    <w:p w:rsidR="00821619" w:rsidRDefault="00821619" w:rsidP="00821619">
      <w:pPr>
        <w:pStyle w:val="3"/>
        <w:shd w:val="clear" w:color="auto" w:fill="auto"/>
        <w:spacing w:before="74" w:after="65" w:line="274" w:lineRule="exact"/>
        <w:ind w:left="20" w:right="20" w:firstLine="680"/>
        <w:jc w:val="right"/>
        <w:rPr>
          <w:sz w:val="24"/>
          <w:szCs w:val="24"/>
        </w:rPr>
      </w:pPr>
      <w:r>
        <w:rPr>
          <w:sz w:val="24"/>
          <w:szCs w:val="24"/>
        </w:rPr>
        <w:t>Таблица 7.3</w:t>
      </w: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1277"/>
        <w:gridCol w:w="1140"/>
        <w:gridCol w:w="1700"/>
        <w:gridCol w:w="1561"/>
        <w:gridCol w:w="1134"/>
        <w:gridCol w:w="995"/>
        <w:gridCol w:w="1427"/>
      </w:tblGrid>
      <w:tr w:rsidR="00821619" w:rsidTr="00821619"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821619" w:rsidRDefault="00821619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80"/>
              <w:shd w:val="clear" w:color="auto" w:fill="auto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Определяемый норматив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80"/>
              <w:shd w:val="clear" w:color="auto" w:fill="auto"/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Нормативная</w:t>
            </w:r>
          </w:p>
          <w:p w:rsidR="00821619" w:rsidRDefault="00821619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ссылка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80"/>
              <w:shd w:val="clear" w:color="auto" w:fill="auto"/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</w:t>
            </w:r>
          </w:p>
        </w:tc>
      </w:tr>
      <w:tr w:rsidR="00821619" w:rsidTr="00821619">
        <w:trPr>
          <w:trHeight w:val="70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Потребность в объектах транспортного обслуживания: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станции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технического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пост/кол-во автомобилей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2.07.01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89*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на 200</w:t>
            </w:r>
          </w:p>
        </w:tc>
      </w:tr>
      <w:tr w:rsidR="00821619" w:rsidTr="00821619">
        <w:trPr>
          <w:trHeight w:val="63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колонка/кол-во автомобилей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на 1200</w:t>
            </w:r>
          </w:p>
        </w:tc>
      </w:tr>
      <w:tr w:rsidR="00821619" w:rsidTr="00821619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Размеры земельных участков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 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10 постов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2.07.01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89*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21619" w:rsidTr="00821619">
        <w:trPr>
          <w:trHeight w:val="3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15 постов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821619" w:rsidTr="00821619">
        <w:trPr>
          <w:trHeight w:val="32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25 постов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21619" w:rsidTr="00821619">
        <w:trPr>
          <w:trHeight w:val="45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40 постов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821619" w:rsidTr="00821619">
        <w:trPr>
          <w:trHeight w:val="37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АЗС </w:t>
            </w:r>
          </w:p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 колонки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21619" w:rsidTr="00821619">
        <w:trPr>
          <w:trHeight w:val="31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5 колонок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821619" w:rsidTr="00821619">
        <w:trPr>
          <w:trHeight w:val="3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7 колонок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821619" w:rsidTr="00821619">
        <w:trPr>
          <w:trHeight w:val="3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9 колонок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</w:tr>
      <w:tr w:rsidR="00821619" w:rsidTr="00821619">
        <w:trPr>
          <w:trHeight w:val="35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11 колонок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Century Gothic" w:hAnsi="Times New Roman" w:cs="Century Gothi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</w:tbl>
    <w:p w:rsidR="00821619" w:rsidRDefault="00821619" w:rsidP="00821619"/>
    <w:p w:rsidR="00821619" w:rsidRDefault="00821619" w:rsidP="00821619">
      <w:pPr>
        <w:pStyle w:val="22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>Раздел 8.  Расчетные показатели  объектов образования</w:t>
      </w:r>
    </w:p>
    <w:p w:rsidR="00821619" w:rsidRDefault="00821619" w:rsidP="00821619">
      <w:pPr>
        <w:pStyle w:val="22"/>
        <w:shd w:val="clear" w:color="auto" w:fill="auto"/>
        <w:spacing w:line="230" w:lineRule="exact"/>
        <w:ind w:firstLine="709"/>
        <w:jc w:val="both"/>
        <w:rPr>
          <w:sz w:val="18"/>
          <w:szCs w:val="18"/>
        </w:rPr>
      </w:pPr>
    </w:p>
    <w:p w:rsidR="00821619" w:rsidRDefault="00821619" w:rsidP="00821619">
      <w:pPr>
        <w:pStyle w:val="3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Дошкольные образовательные учреждения согласно СП 42.13330.2016  «Градостроительство.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2.07.01-89*» и </w:t>
      </w:r>
      <w:proofErr w:type="gramStart"/>
      <w:r>
        <w:rPr>
          <w:sz w:val="24"/>
          <w:szCs w:val="24"/>
        </w:rPr>
        <w:t>региональным</w:t>
      </w:r>
      <w:proofErr w:type="gramEnd"/>
      <w:r>
        <w:rPr>
          <w:sz w:val="24"/>
          <w:szCs w:val="24"/>
        </w:rPr>
        <w:t xml:space="preserve"> нормативов градостроительного проектирования Республики Бурятия, расчётные показатели минимального обеспечения населения объектами дошкольного образования определяются в зависимости от прогноза демографической структуры населения, исходя из обеспечения детскими учреждениями в пределах 85% численности детей в возрасте 1,5 года - 6,5 лет.</w:t>
      </w:r>
    </w:p>
    <w:p w:rsidR="00821619" w:rsidRDefault="00821619" w:rsidP="00821619">
      <w:pPr>
        <w:pStyle w:val="11"/>
        <w:shd w:val="clear" w:color="auto" w:fill="auto"/>
        <w:tabs>
          <w:tab w:val="left" w:pos="993"/>
        </w:tabs>
        <w:spacing w:after="0" w:line="240" w:lineRule="auto"/>
        <w:ind w:left="20" w:right="23"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Уровень обеспеченности внешкольными образовательными учреждениями принимается в размере 10% численности учащихся 1-8 классов общеобразовательных школ в населенном пункте, что составляет 8 мест на 1000 жителей.</w:t>
      </w:r>
    </w:p>
    <w:p w:rsidR="00821619" w:rsidRDefault="00821619" w:rsidP="00821619">
      <w:pPr>
        <w:pStyle w:val="3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Учреждения дополнительного образования размещаются в населенных пунктах с численностью населения от 3 тыс. чел. до 10 тыс. чел., следует размещать в расчете 1 учреждение на населенный пункт.</w:t>
      </w:r>
    </w:p>
    <w:p w:rsidR="00821619" w:rsidRDefault="00821619" w:rsidP="00821619">
      <w:pPr>
        <w:pStyle w:val="11"/>
        <w:shd w:val="clear" w:color="auto" w:fill="auto"/>
        <w:tabs>
          <w:tab w:val="left" w:pos="993"/>
        </w:tabs>
        <w:spacing w:after="0" w:line="240" w:lineRule="auto"/>
        <w:ind w:left="23" w:right="10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 допустимый уровень территориальной доступности общеобразовательных школ на территории сельских населенных пунктов составляет 4 км пешеходной или 30 мин. транспортной доступности для учащихся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ступеней, для учащихся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ступени - 2 км пешеходной или 15 мин. транспортной доступности. Предельный радиус обслуживания учащихся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ступеней не должен превышать 15 км.</w:t>
      </w:r>
    </w:p>
    <w:p w:rsidR="00821619" w:rsidRDefault="00821619" w:rsidP="00821619">
      <w:pPr>
        <w:pStyle w:val="3"/>
        <w:shd w:val="clear" w:color="auto" w:fill="auto"/>
        <w:tabs>
          <w:tab w:val="left" w:pos="993"/>
        </w:tabs>
        <w:spacing w:line="240" w:lineRule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Для школьников, проживающих на расстоянии свыше 1 км (в т. ч. в мелких населенных пунктах) необходимо предусматривать организацию подвоза на транспорте, предназначенном для перевозки детей. Предельный пешеходный подход учащихся к месту сбора на остановке не должен превышать 500 м.</w:t>
      </w:r>
    </w:p>
    <w:p w:rsidR="00821619" w:rsidRDefault="00821619" w:rsidP="00821619">
      <w:pPr>
        <w:pStyle w:val="11"/>
        <w:shd w:val="clear" w:color="auto" w:fill="auto"/>
        <w:tabs>
          <w:tab w:val="left" w:pos="993"/>
        </w:tabs>
        <w:spacing w:after="0" w:line="240" w:lineRule="auto"/>
        <w:ind w:left="23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Малокомплектные начальные школы рекомендуется размещать в комплексе с дошкольными образовательными учреждениями. Необходимая нормативная площадь участков образовательных учреждений при этом суммируется.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объектам образования приведены в таблице 8.</w:t>
      </w:r>
    </w:p>
    <w:p w:rsidR="00821619" w:rsidRDefault="00821619" w:rsidP="00821619">
      <w:pPr>
        <w:pStyle w:val="22"/>
        <w:shd w:val="clear" w:color="auto" w:fill="auto"/>
        <w:spacing w:line="230" w:lineRule="exact"/>
        <w:jc w:val="right"/>
        <w:rPr>
          <w:b/>
        </w:rPr>
      </w:pPr>
      <w:r>
        <w:rPr>
          <w:b/>
        </w:rPr>
        <w:t>Таблица 8</w:t>
      </w:r>
    </w:p>
    <w:p w:rsidR="00821619" w:rsidRDefault="00821619" w:rsidP="00821619">
      <w:pPr>
        <w:pStyle w:val="22"/>
        <w:shd w:val="clear" w:color="auto" w:fill="auto"/>
        <w:spacing w:line="230" w:lineRule="exact"/>
        <w:jc w:val="center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701"/>
        <w:gridCol w:w="1658"/>
        <w:gridCol w:w="1486"/>
        <w:gridCol w:w="4510"/>
      </w:tblGrid>
      <w:tr w:rsidR="00821619" w:rsidTr="008216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77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1619" w:rsidTr="008216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62-69*</w:t>
            </w:r>
          </w:p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=300*0,7=210 м,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малоэтажной застройке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=500*0,7=350 м;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сельских населенных пунктах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=500*0,7=350 м</w:t>
            </w:r>
          </w:p>
        </w:tc>
      </w:tr>
      <w:tr w:rsidR="00821619" w:rsidTr="008216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городских населенных пунктах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=400 м  (для начальных классов Д=300 м);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сельской местности на расстоянии транспортной доступности: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учащихся I ступени обучения – 15 мин (в одну сторону), 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учащихся II-III ступеней – не более 50 мин (в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одну сторону)**</w:t>
            </w:r>
          </w:p>
        </w:tc>
      </w:tr>
      <w:tr w:rsidR="00821619" w:rsidTr="00821619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дополнительного образования для детей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городских населенных пунктах на расстоянии транспортной доступности не более 30 минут, в сельских населенных пунктах – не более 60 мин</w:t>
            </w:r>
          </w:p>
        </w:tc>
      </w:tr>
      <w:tr w:rsidR="00821619" w:rsidTr="00821619">
        <w:trPr>
          <w:trHeight w:val="10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*- указанная  территориальная доступность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Примечание: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возможно размещение малокомплектных учреждений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школа-детский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сад», размещение учреждений II и III ступеней обучения в местных,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подрайонных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 районных центрах межселенного значение с обеспечением транспортной доступности.</w:t>
            </w:r>
          </w:p>
        </w:tc>
      </w:tr>
    </w:tbl>
    <w:p w:rsidR="00821619" w:rsidRDefault="00821619" w:rsidP="00821619">
      <w:pPr>
        <w:pStyle w:val="3"/>
        <w:shd w:val="clear" w:color="auto" w:fill="auto"/>
        <w:spacing w:after="132" w:line="283" w:lineRule="exact"/>
        <w:ind w:right="20" w:firstLine="680"/>
        <w:jc w:val="both"/>
      </w:pPr>
    </w:p>
    <w:p w:rsidR="00821619" w:rsidRDefault="00821619" w:rsidP="00821619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8" w:name="bookmark41"/>
      <w:r>
        <w:rPr>
          <w:rFonts w:ascii="Times New Roman" w:eastAsia="Times New Roman" w:hAnsi="Times New Roman" w:cs="Times New Roman"/>
          <w:b/>
          <w:color w:val="auto"/>
          <w:lang w:eastAsia="en-US"/>
        </w:rPr>
        <w:t>Раздел 9.  Расчетные показатели  объектов здравоохранения</w:t>
      </w:r>
      <w:bookmarkEnd w:id="8"/>
    </w:p>
    <w:p w:rsidR="00821619" w:rsidRDefault="00821619" w:rsidP="00821619"/>
    <w:p w:rsidR="00821619" w:rsidRDefault="00821619" w:rsidP="00821619">
      <w:pPr>
        <w:pStyle w:val="11"/>
        <w:shd w:val="clear" w:color="auto" w:fill="auto"/>
        <w:spacing w:after="0" w:line="240" w:lineRule="auto"/>
        <w:ind w:left="23" w:right="23" w:firstLine="65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Минимально допустимый уровень обеспеченности населения муниципальными аптеками принимается в соответствии с социальными нормативами и нормами, утвержденными распоряжением Правительства Российской Федерации от 03.07.1996г. №1063-р и определяется как 1 объект на 6,2 тыс. жителей.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объектам  здравоохранения приведены в таблице 9.</w:t>
      </w:r>
    </w:p>
    <w:p w:rsidR="00821619" w:rsidRDefault="00821619" w:rsidP="00821619">
      <w:pPr>
        <w:pStyle w:val="11"/>
        <w:shd w:val="clear" w:color="auto" w:fill="auto"/>
        <w:spacing w:after="0" w:line="360" w:lineRule="auto"/>
        <w:ind w:left="23" w:right="23" w:firstLine="658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978"/>
        <w:gridCol w:w="3971"/>
      </w:tblGrid>
      <w:tr w:rsidR="00821619" w:rsidTr="00821619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821619" w:rsidTr="008216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a6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объекта  на 6,2 тыс. чел в населенном пункте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многоэтажной застройке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=500*1=500 м,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малоэтажной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=800*1=800 м; 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 15 мин. транспортной доступности</w:t>
            </w:r>
          </w:p>
          <w:p w:rsidR="00821619" w:rsidRDefault="00821619">
            <w:pPr>
              <w:pStyle w:val="a6"/>
              <w:rPr>
                <w:sz w:val="20"/>
                <w:szCs w:val="20"/>
              </w:rPr>
            </w:pPr>
          </w:p>
        </w:tc>
      </w:tr>
    </w:tbl>
    <w:p w:rsidR="00821619" w:rsidRDefault="00821619" w:rsidP="00821619">
      <w:pPr>
        <w:rPr>
          <w:rFonts w:ascii="Times New Roman" w:eastAsia="Times New Roman" w:hAnsi="Times New Roman" w:cs="Times New Roman"/>
          <w:b/>
          <w:color w:val="auto"/>
        </w:rPr>
      </w:pPr>
    </w:p>
    <w:p w:rsidR="00821619" w:rsidRDefault="00821619" w:rsidP="00821619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Раздел 10.  Расчетные показатели объектов физической культуры и массового спорта</w:t>
      </w:r>
    </w:p>
    <w:p w:rsidR="00821619" w:rsidRDefault="00821619" w:rsidP="00821619"/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культуры. 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 </w:t>
      </w:r>
    </w:p>
    <w:p w:rsidR="00821619" w:rsidRDefault="00821619" w:rsidP="00821619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Согласно СП 42.13330.2011, для малых поселений нормы расчета залов и бассейнов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</w:rPr>
        <w:t>необходимо принимать с учетом минимальной вместимости объектов по технологическим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</w:rPr>
        <w:t>требованиям.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</w:rPr>
        <w:t xml:space="preserve">Комплексы физкультурно-оздоровительных площадок предусматриваются в каждом населенном пункте поселения.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 и на их территории. Таким образом, следует принимать большее значение в амплитуде нормативных значений для обеспеченности спортивными залами и бассейнами с размещением одного многофункционального </w:t>
      </w:r>
      <w:proofErr w:type="spellStart"/>
      <w:r>
        <w:rPr>
          <w:rFonts w:ascii="Times New Roman" w:eastAsia="Calibri" w:hAnsi="Times New Roman" w:cs="Times New Roman"/>
        </w:rPr>
        <w:t>спортивно-досугового</w:t>
      </w:r>
      <w:proofErr w:type="spellEnd"/>
      <w:r>
        <w:rPr>
          <w:rFonts w:ascii="Times New Roman" w:eastAsia="Calibri" w:hAnsi="Times New Roman" w:cs="Times New Roman"/>
        </w:rPr>
        <w:t xml:space="preserve"> комплекса с бассейном в административном центре.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</w:rPr>
        <w:t xml:space="preserve">В поселениях с числом жителей от 2 до 5 тыс. следует предусматривать один спортивный зал площадью 540 </w:t>
      </w:r>
      <w:r>
        <w:rPr>
          <w:rFonts w:ascii="Times New Roman" w:hAnsi="Times New Roman" w:cs="Times New Roman"/>
          <w:bCs/>
        </w:rPr>
        <w:t>м</w:t>
      </w:r>
      <w:proofErr w:type="gramStart"/>
      <w:r>
        <w:rPr>
          <w:rFonts w:ascii="Times New Roman" w:hAnsi="Times New Roman" w:cs="Times New Roman"/>
          <w:bCs/>
          <w:vertAlign w:val="superscript"/>
        </w:rPr>
        <w:t>2</w:t>
      </w:r>
      <w:proofErr w:type="gramEnd"/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Показатели по объектам физической культуры и массового спорта приведены в таблице 10.</w:t>
      </w:r>
    </w:p>
    <w:p w:rsidR="00821619" w:rsidRDefault="00821619" w:rsidP="0082161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Таблица 10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780"/>
        <w:gridCol w:w="1841"/>
        <w:gridCol w:w="1485"/>
        <w:gridCol w:w="4226"/>
      </w:tblGrid>
      <w:tr w:rsidR="00821619" w:rsidTr="0082161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одного или нескольких видов объектов местного значения поселения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Минимально допустимый уровень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Максимально допустимый уровень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территориальной доступности</w:t>
            </w:r>
          </w:p>
        </w:tc>
      </w:tr>
      <w:tr w:rsidR="00821619" w:rsidTr="00821619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7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1619" w:rsidTr="0082161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Спортивные комплексы</w:t>
            </w:r>
          </w:p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площади пола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многоэтажной застройке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=500 м,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малоэтажной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=700 м; 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30-минутная транспортная доступность</w:t>
            </w:r>
          </w:p>
        </w:tc>
      </w:tr>
      <w:tr w:rsidR="00821619" w:rsidTr="0082161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Плавательные бассейны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зеркала воды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821619" w:rsidTr="0082161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Стадионы</w:t>
            </w:r>
          </w:p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 группу сельских населенных пунктов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821619" w:rsidTr="00821619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Плоскостные сооружения </w:t>
            </w:r>
          </w:p>
          <w:p w:rsidR="00821619" w:rsidRDefault="00821619">
            <w:pPr>
              <w:pStyle w:val="22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плоскостных сооружений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1500 м</w:t>
            </w:r>
          </w:p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21619" w:rsidRDefault="00821619" w:rsidP="00821619">
      <w:pPr>
        <w:jc w:val="both"/>
        <w:rPr>
          <w:b/>
          <w:sz w:val="20"/>
        </w:rPr>
      </w:pPr>
    </w:p>
    <w:p w:rsidR="00821619" w:rsidRDefault="00821619" w:rsidP="0082161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11. Расчетные показатели объектов культуры, досуга и художественного творчества</w:t>
      </w:r>
    </w:p>
    <w:p w:rsidR="00821619" w:rsidRDefault="00821619" w:rsidP="00821619"/>
    <w:p w:rsidR="00821619" w:rsidRDefault="00821619" w:rsidP="00821619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 К вопросам местного значения сельского поселения относится формирования архивных фондов поселения.</w:t>
      </w:r>
    </w:p>
    <w:p w:rsidR="00821619" w:rsidRDefault="00821619" w:rsidP="00821619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библиотеки, музеи являются объектами преимущественно периодического и эпизодического пользования. Учреждения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типа - постоянного и периодического пользования. В сельском поселении пешеходная и доступность населения до объектов культурно-бытового обслуживания: библиотек и сельских клубов составит 1500 м, для музеев - 30-минутная транспортная доступность.</w:t>
      </w:r>
    </w:p>
    <w:p w:rsidR="00821619" w:rsidRDefault="00821619" w:rsidP="00821619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определяется заданием на проектирование.</w:t>
      </w:r>
    </w:p>
    <w:p w:rsidR="00821619" w:rsidRDefault="00821619" w:rsidP="00821619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объектам  культуры, досуга и художественного творчества приведены в таблице 11.</w:t>
      </w:r>
    </w:p>
    <w:p w:rsidR="00821619" w:rsidRDefault="00821619" w:rsidP="0082161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11</w:t>
      </w:r>
    </w:p>
    <w:p w:rsidR="00821619" w:rsidRDefault="00821619" w:rsidP="00821619"/>
    <w:tbl>
      <w:tblPr>
        <w:tblW w:w="96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1844"/>
        <w:gridCol w:w="1560"/>
        <w:gridCol w:w="2834"/>
        <w:gridCol w:w="2835"/>
      </w:tblGrid>
      <w:tr w:rsidR="00821619" w:rsidTr="00821619">
        <w:trPr>
          <w:trHeight w:val="5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271"/>
        </w:trPr>
        <w:tc>
          <w:tcPr>
            <w:tcW w:w="9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right="28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2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библиотеки*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населенные пункты: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на 10 тыс. жителей,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на 5,5 тыс. детей,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 17 тыс. жителей 15-24 лет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Сельские населенные пункты: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городских населенных пунктах 1500 м;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сельских населенных пунктах 30 мин транспортная доступность</w:t>
            </w:r>
          </w:p>
        </w:tc>
      </w:tr>
      <w:tr w:rsidR="00821619" w:rsidTr="00821619">
        <w:trPr>
          <w:trHeight w:val="440"/>
        </w:trPr>
        <w:tc>
          <w:tcPr>
            <w:tcW w:w="9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312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ед. хранения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музеи**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городских населенных пунктов: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на 25 тыс. человек.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сельских населенных пунктов: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left="-1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 5-10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821619" w:rsidTr="00821619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архивы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821619" w:rsidTr="00821619">
        <w:trPr>
          <w:trHeight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типа***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Зрительские места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городских населенных пунктах 1500 м;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сельских населенных пунктах 30 мин транспортная доступность</w:t>
            </w:r>
          </w:p>
        </w:tc>
      </w:tr>
      <w:tr w:rsidR="00821619" w:rsidTr="00821619">
        <w:trPr>
          <w:trHeight w:val="10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Объекты, связанные с обеспечением организации мероприятий по работе с детьми и молодежью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на 1000 чел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 часовая транспортная доступность</w:t>
            </w:r>
          </w:p>
        </w:tc>
      </w:tr>
      <w:tr w:rsidR="00821619" w:rsidTr="00821619">
        <w:trPr>
          <w:trHeight w:val="653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*- для населенного пункта до 500 человек – библиотечный пункт (отдел нестационарного обслуживания) поселенческой библиотеки, передвижная библиотека; более 500 человек – филиал поселенческой библиотеки или общедоступная поселенческая библиотека.</w:t>
            </w:r>
          </w:p>
          <w:p w:rsidR="00821619" w:rsidRDefault="00821619">
            <w:pPr>
              <w:autoSpaceDE w:val="0"/>
              <w:autoSpaceDN w:val="0"/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**- из расчета на муниципальный район и крупные сельские поселения, в сельском поселении может быть организован музей с филиалами в населенных пунктах с численностью населения до 1 тыс. человек.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***- для сельских населенных пунктов возможно размещение одного клубного учреждения на 500 зрительских мест на муниципальный район.</w:t>
            </w:r>
          </w:p>
        </w:tc>
      </w:tr>
    </w:tbl>
    <w:p w:rsidR="00821619" w:rsidRDefault="00821619" w:rsidP="00821619">
      <w:pPr>
        <w:pStyle w:val="a6"/>
        <w:ind w:firstLine="0"/>
      </w:pPr>
    </w:p>
    <w:p w:rsidR="00821619" w:rsidRDefault="00821619" w:rsidP="00821619">
      <w:pPr>
        <w:pStyle w:val="a6"/>
        <w:ind w:firstLine="0"/>
        <w:rPr>
          <w:rFonts w:eastAsia="Tahoma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Раздел 12. Расчетные показатели объекты услуг общественного питания, торговли, бытового обслуживания населения и иных услуг:</w:t>
      </w:r>
    </w:p>
    <w:p w:rsidR="00821619" w:rsidRDefault="00821619" w:rsidP="00821619">
      <w:pPr>
        <w:rPr>
          <w:rFonts w:ascii="Times New Roman" w:hAnsi="Times New Roman" w:cs="Times New Roman"/>
        </w:rPr>
      </w:pPr>
    </w:p>
    <w:p w:rsidR="00821619" w:rsidRDefault="00821619" w:rsidP="00821619">
      <w:pPr>
        <w:ind w:left="23" w:right="23"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Предлагается создать условия для размещения минимально одного магазина в каждом населенном пункте с учетом пешеходной доступности в пределах 800 м.</w:t>
      </w:r>
    </w:p>
    <w:p w:rsidR="00821619" w:rsidRDefault="00821619" w:rsidP="00821619">
      <w:pPr>
        <w:ind w:left="23" w:right="23"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объектам услуг общественного питания, торговли, бытового обслуживания населения и иных услуг приведены в таблице 12.</w:t>
      </w:r>
    </w:p>
    <w:p w:rsidR="00821619" w:rsidRDefault="00821619" w:rsidP="00821619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Таблица 12</w:t>
      </w:r>
    </w:p>
    <w:p w:rsidR="00821619" w:rsidRDefault="00821619" w:rsidP="00821619"/>
    <w:tbl>
      <w:tblPr>
        <w:tblW w:w="94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1572"/>
        <w:gridCol w:w="1773"/>
        <w:gridCol w:w="2263"/>
        <w:gridCol w:w="7"/>
        <w:gridCol w:w="3259"/>
        <w:gridCol w:w="7"/>
      </w:tblGrid>
      <w:tr w:rsidR="00821619" w:rsidTr="00821619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  <w:p w:rsidR="00821619" w:rsidRDefault="00821619">
            <w:pPr>
              <w:pStyle w:val="3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gridAfter w:val="1"/>
          <w:wAfter w:w="7" w:type="dxa"/>
          <w:trHeight w:val="41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left="280" w:right="2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1619" w:rsidTr="00821619">
        <w:trPr>
          <w:gridAfter w:val="1"/>
          <w:wAfter w:w="7" w:type="dxa"/>
          <w:trHeight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торговой площади</w:t>
            </w:r>
          </w:p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соответствии с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09.04.2016г. № 291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сельских населенных пункт ах 2000 м</w:t>
            </w:r>
          </w:p>
        </w:tc>
      </w:tr>
      <w:tr w:rsidR="00821619" w:rsidTr="00821619">
        <w:trPr>
          <w:gridAfter w:val="1"/>
          <w:wAfter w:w="7" w:type="dxa"/>
          <w:trHeight w:val="1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сельских населенных пункт ах 2000 м</w:t>
            </w:r>
          </w:p>
        </w:tc>
      </w:tr>
      <w:tr w:rsidR="00821619" w:rsidTr="00821619">
        <w:trPr>
          <w:gridAfter w:val="1"/>
          <w:wAfter w:w="7" w:type="dxa"/>
          <w:trHeight w:val="1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бытового обслуживания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рабочих мест </w:t>
            </w:r>
          </w:p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-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сельских населенных пункт ах 2000 м</w:t>
            </w:r>
          </w:p>
        </w:tc>
      </w:tr>
      <w:tr w:rsidR="00821619" w:rsidTr="00821619">
        <w:trPr>
          <w:gridAfter w:val="1"/>
          <w:wAfter w:w="7" w:type="dxa"/>
          <w:trHeight w:val="7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Отделения банков, операционные кассы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городские населенные пункты: 1 на 10 тыс. чел. сельские населенные пункты: 1 на группу населенных пунктов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городские населенные пункты: 1000 м</w:t>
            </w:r>
          </w:p>
          <w:p w:rsidR="00821619" w:rsidRDefault="0082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сельские населенные пункты: 15 мин транспортная доступность</w:t>
            </w:r>
          </w:p>
        </w:tc>
      </w:tr>
      <w:tr w:rsidR="00821619" w:rsidTr="00821619">
        <w:trPr>
          <w:gridAfter w:val="1"/>
          <w:wAfter w:w="7" w:type="dxa"/>
          <w:trHeight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</w:t>
            </w:r>
          </w:p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тыс.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</w:tbl>
    <w:p w:rsidR="00821619" w:rsidRDefault="00821619" w:rsidP="00821619"/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13.  Расчетные показатели  объектов, предназначенные для утилизации и переработки бытовых и промышленных отходов</w:t>
      </w:r>
    </w:p>
    <w:p w:rsidR="00821619" w:rsidRDefault="00821619" w:rsidP="00821619">
      <w:pPr>
        <w:ind w:firstLine="567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821619" w:rsidRDefault="00821619" w:rsidP="00821619">
      <w:pPr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Федерального закона от 24.06.1998г. № 89-ФЗ «Об отходах производства и потребления» организация деятельности по сбору (в том числе раздельному сбору), транспортировке, обработке, утилизации,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Федерации.</w:t>
      </w:r>
    </w:p>
    <w:p w:rsidR="00821619" w:rsidRDefault="00821619" w:rsidP="00821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Нормативы накопления твердых коммунальных отходов утверждаются органами исполнительной власти субъектов Российской Федерации либо в случае наделения его соответствующими полномочиями законом субъекта Российской Федерации органом местного самоуправления.</w:t>
      </w:r>
    </w:p>
    <w:p w:rsidR="00821619" w:rsidRDefault="00821619" w:rsidP="00821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821619" w:rsidRDefault="00821619" w:rsidP="008216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Порядок определения нормативов накопления твердых коммунальных отходов устанавливается Правительством Российской Федерации.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Нормативные требования к размещению объектов по утилизации радиоактивных отходов устанавливаются в соответствии с требованиями СП 2.6.6.1168-02 «Санитарные правила обращения с радиоактивными отходами» (СПОРО-2002), НП 055-04 «Захоронение радиоактивных отходов. Принципы, критерии и основные требования безопасности», СП 2.6.1.2612-10 «Основные санитарные правила обеспечения радиационной безопасности» (ОСПОРБ 99/2010),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2.6.1.2523-09 «Нормы радиационной безопасности» (НРБ-99/2009), ГОСТ 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52037-2003, Федерального закона от 30.03.1999г. №52-ФЗ «О санитарно-эпидемиологическом благополучии населения», Федерального закона от 09.01.1996г. №3-ФЗ «О радиационной безопасности населения», Федерального закона от 11.07.2011г. №190-ФЗ «Об обращении с радиоактивными отходами и о внесении изменений в отдельные законодательные акты Российской Федерации», Федерального закона от 21.11.1995г. № 170-ФЗ «Об использовании атомной энергии», Закона Российской Федерации от 21.02.1992 г. № 2395-1 «О недрах», Федерального закона от 10.01.2002 г. №7-ФЗ «Об охране окружающей среды» и иных документов, регулирующих обращение с радиоактивными отходами.</w:t>
      </w:r>
    </w:p>
    <w:p w:rsidR="00821619" w:rsidRDefault="00821619" w:rsidP="00821619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Площадь участка, отводимого под полигон, выбирается, как правило, из условия срока его эксплуатации не менее 15-20 лет.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Показатели по объектам, предназначенные для утилизации и переработки бытовых и промышленных отходов приведены в таблице 13.</w:t>
      </w:r>
    </w:p>
    <w:p w:rsidR="00821619" w:rsidRDefault="00821619" w:rsidP="00821619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Таблица 13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17"/>
        <w:gridCol w:w="1418"/>
        <w:gridCol w:w="1276"/>
        <w:gridCol w:w="2976"/>
      </w:tblGrid>
      <w:tr w:rsidR="00821619" w:rsidTr="00821619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Наименование одного или нескольких видов объектов </w:t>
            </w:r>
            <w:r>
              <w:rPr>
                <w:color w:val="000000"/>
                <w:sz w:val="20"/>
                <w:szCs w:val="20"/>
              </w:rPr>
              <w:lastRenderedPageBreak/>
              <w:t>местного значения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Максимально допустимый уровень территориальной </w:t>
            </w:r>
            <w:r>
              <w:rPr>
                <w:color w:val="000000"/>
                <w:sz w:val="20"/>
                <w:szCs w:val="20"/>
              </w:rPr>
              <w:lastRenderedPageBreak/>
              <w:t>доступности</w:t>
            </w:r>
          </w:p>
        </w:tc>
      </w:tr>
      <w:tr w:rsidR="00821619" w:rsidTr="00821619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7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821619" w:rsidRDefault="00821619">
            <w:pPr>
              <w:pStyle w:val="3"/>
              <w:ind w:left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Мусороперерабатывающие и мусоросжигательные предприятия мощностью, 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1619" w:rsidRDefault="00821619">
            <w:pPr>
              <w:pStyle w:val="3"/>
              <w:ind w:left="46"/>
              <w:jc w:val="center"/>
              <w:rPr>
                <w:color w:val="000000"/>
                <w:sz w:val="20"/>
                <w:szCs w:val="20"/>
              </w:rPr>
            </w:pPr>
          </w:p>
          <w:p w:rsidR="00821619" w:rsidRDefault="00821619">
            <w:pPr>
              <w:pStyle w:val="3"/>
              <w:ind w:left="46"/>
              <w:jc w:val="center"/>
              <w:rPr>
                <w:color w:val="000000"/>
                <w:sz w:val="20"/>
                <w:szCs w:val="20"/>
              </w:rPr>
            </w:pPr>
          </w:p>
          <w:p w:rsidR="00821619" w:rsidRDefault="00821619">
            <w:pPr>
              <w:pStyle w:val="3"/>
              <w:ind w:left="4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св.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Склады компоста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Поля компостирования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0,5-1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Мусороперегрузочные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Сливные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821619" w:rsidTr="0082161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0,3</w:t>
            </w:r>
          </w:p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</w:tbl>
    <w:p w:rsidR="00821619" w:rsidRDefault="00821619" w:rsidP="00821619"/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14.  Расчетные показатели   объектов, предназначенные для организации ритуальных услуг и содержания мест захоронения</w:t>
      </w:r>
    </w:p>
    <w:p w:rsidR="00821619" w:rsidRDefault="00821619" w:rsidP="00821619"/>
    <w:p w:rsidR="00821619" w:rsidRDefault="00821619" w:rsidP="0082161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СП 42.13330.2016  «Градостроительство.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</w:rPr>
        <w:t>СНиП</w:t>
      </w:r>
      <w:proofErr w:type="spellEnd"/>
      <w:r>
        <w:rPr>
          <w:rFonts w:ascii="Times New Roman" w:hAnsi="Times New Roman" w:cs="Times New Roman"/>
        </w:rPr>
        <w:t xml:space="preserve"> 2.07.01-89*».</w:t>
      </w:r>
    </w:p>
    <w:p w:rsidR="00821619" w:rsidRDefault="00821619" w:rsidP="00821619">
      <w:pPr>
        <w:ind w:firstLine="709"/>
      </w:pPr>
      <w:r>
        <w:rPr>
          <w:rFonts w:ascii="Times New Roman" w:hAnsi="Times New Roman" w:cs="Times New Roman"/>
        </w:rPr>
        <w:t>Показатели по объектам, предназначенные для организации ритуальных услуг и содержания мест захоронения приведены в таблице 14.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</w:pPr>
      <w:r>
        <w:t>Таблица 14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558"/>
      </w:tblGrid>
      <w:tr w:rsidR="00821619" w:rsidTr="00821619">
        <w:trPr>
          <w:trHeight w:val="5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Кладбище традиционного захоронения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821619" w:rsidTr="00821619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color w:val="000000"/>
                <w:sz w:val="20"/>
                <w:szCs w:val="20"/>
              </w:rPr>
              <w:t>урновых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821619" w:rsidTr="00821619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Бюро похоронного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на 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6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</w:tbl>
    <w:p w:rsidR="00821619" w:rsidRDefault="00821619" w:rsidP="00821619"/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15.  Расчетные показатели  мест массового отдыха населения</w:t>
      </w:r>
    </w:p>
    <w:p w:rsidR="00821619" w:rsidRDefault="00821619" w:rsidP="0082161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558"/>
      </w:tblGrid>
      <w:tr w:rsidR="00821619" w:rsidTr="00821619">
        <w:trPr>
          <w:trHeight w:val="5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  <w:p w:rsidR="00821619" w:rsidRDefault="00821619">
            <w:pPr>
              <w:pStyle w:val="3"/>
              <w:ind w:hanging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263"/>
        </w:trPr>
        <w:tc>
          <w:tcPr>
            <w:tcW w:w="9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4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массового кратковременного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before="12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мин</w:t>
            </w:r>
            <w:r>
              <w:rPr>
                <w:color w:val="00000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транспортная доступность</w:t>
            </w:r>
          </w:p>
        </w:tc>
      </w:tr>
      <w:tr w:rsidR="00821619" w:rsidTr="00821619">
        <w:trPr>
          <w:trHeight w:val="317"/>
        </w:trPr>
        <w:tc>
          <w:tcPr>
            <w:tcW w:w="9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т.ч. для активных видов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мин 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транспортная доступность</w:t>
            </w:r>
          </w:p>
        </w:tc>
      </w:tr>
      <w:tr w:rsidR="00821619" w:rsidTr="00821619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Речные и озерные пляжи*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821619" w:rsidTr="00821619">
        <w:trPr>
          <w:trHeight w:val="411"/>
        </w:trPr>
        <w:tc>
          <w:tcPr>
            <w:tcW w:w="9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Речные и озерные пляжи для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821619" w:rsidTr="00821619">
        <w:trPr>
          <w:trHeight w:val="430"/>
        </w:trPr>
        <w:tc>
          <w:tcPr>
            <w:tcW w:w="9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Специализированные лечебные пляжи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821619" w:rsidTr="00821619">
        <w:trPr>
          <w:trHeight w:val="730"/>
        </w:trPr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lastRenderedPageBreak/>
              <w:t>*</w:t>
            </w:r>
            <w:r>
              <w:rPr>
                <w:color w:val="000000"/>
                <w:sz w:val="20"/>
                <w:szCs w:val="20"/>
              </w:rPr>
              <w:t>- Размеры речных и озерных пляжей, размещаемых вне курортных зон на землях, пригодных для сельскохозяйственного использования, следует принимать из расчета 5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на одного посетителя.</w:t>
            </w:r>
          </w:p>
        </w:tc>
      </w:tr>
    </w:tbl>
    <w:p w:rsidR="00821619" w:rsidRDefault="00821619" w:rsidP="00821619"/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16.  Расчетные показатели для городских лесов</w:t>
      </w:r>
    </w:p>
    <w:p w:rsidR="00821619" w:rsidRDefault="00821619" w:rsidP="00821619"/>
    <w:p w:rsidR="00821619" w:rsidRDefault="00821619" w:rsidP="00821619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821619" w:rsidRDefault="00821619" w:rsidP="00821619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42.13330.2016  (Актуализированная редакция </w:t>
      </w:r>
      <w:proofErr w:type="spellStart"/>
      <w:r>
        <w:rPr>
          <w:rFonts w:ascii="Times New Roman" w:hAnsi="Times New Roman" w:cs="Times New Roman"/>
        </w:rPr>
        <w:t>СНиП</w:t>
      </w:r>
      <w:proofErr w:type="spellEnd"/>
      <w:r>
        <w:rPr>
          <w:rFonts w:ascii="Times New Roman" w:hAnsi="Times New Roman" w:cs="Times New Roman"/>
        </w:rPr>
        <w:t xml:space="preserve"> 2.07.01-89* «Градостроительство.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Планировка и застройка городских и сельских поселений»), Постановления Правительства РФ от 14.12.2009 г. №1007 «Об утверждении Положения об определении функциональных зон в лесопарковых зонах, площади и границ лесопарковых зон, зеленых зон».</w:t>
      </w:r>
      <w:proofErr w:type="gramEnd"/>
    </w:p>
    <w:p w:rsidR="00821619" w:rsidRDefault="00821619" w:rsidP="00821619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821619" w:rsidRDefault="00821619" w:rsidP="00821619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821619" w:rsidRDefault="00821619" w:rsidP="00821619">
      <w:pPr>
        <w:spacing w:after="60" w:line="274" w:lineRule="exact"/>
        <w:ind w:left="20" w:right="2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821619" w:rsidRDefault="00821619" w:rsidP="00821619">
      <w:pPr>
        <w:ind w:firstLine="709"/>
      </w:pPr>
      <w:r>
        <w:rPr>
          <w:rFonts w:ascii="Times New Roman" w:hAnsi="Times New Roman" w:cs="Times New Roman"/>
        </w:rPr>
        <w:t>Показатели по городским лесам объектам приведены в таблице 16.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</w:pPr>
      <w:r>
        <w:t>Таблица 16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976"/>
      </w:tblGrid>
      <w:tr w:rsidR="00821619" w:rsidTr="00821619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19" w:rsidTr="0082161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147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Городские леса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left="4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нормируется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</w:tbl>
    <w:p w:rsidR="00821619" w:rsidRDefault="00821619" w:rsidP="00821619"/>
    <w:p w:rsidR="00821619" w:rsidRDefault="00821619" w:rsidP="008216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17.  Расчетные показатели объектов благоустройства и озеленения территорий</w:t>
      </w:r>
    </w:p>
    <w:p w:rsidR="00821619" w:rsidRDefault="00821619" w:rsidP="00821619"/>
    <w:p w:rsidR="00821619" w:rsidRDefault="00821619" w:rsidP="00821619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42.13330.2016  (Актуализированная редакция </w:t>
      </w:r>
      <w:proofErr w:type="spellStart"/>
      <w:r>
        <w:rPr>
          <w:rFonts w:ascii="Times New Roman" w:hAnsi="Times New Roman" w:cs="Times New Roman"/>
        </w:rPr>
        <w:t>СНиП</w:t>
      </w:r>
      <w:proofErr w:type="spellEnd"/>
      <w:r>
        <w:rPr>
          <w:rFonts w:ascii="Times New Roman" w:hAnsi="Times New Roman" w:cs="Times New Roman"/>
        </w:rPr>
        <w:t xml:space="preserve"> 2.07.01-89* «Градостроительство.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Планировка и застройка городских и сельских поселений»,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9.13 - 9.15, 9.19).</w:t>
      </w:r>
      <w:proofErr w:type="gramEnd"/>
    </w:p>
    <w:p w:rsidR="00821619" w:rsidRDefault="00821619" w:rsidP="00821619">
      <w:pPr>
        <w:ind w:firstLine="709"/>
      </w:pPr>
      <w:r>
        <w:rPr>
          <w:rFonts w:ascii="Times New Roman" w:hAnsi="Times New Roman" w:cs="Times New Roman"/>
        </w:rPr>
        <w:t>Показатели по объектам благоустройства и озеленения территорий приведены в таблице 17.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Таблица 17</w:t>
      </w:r>
    </w:p>
    <w:p w:rsidR="00821619" w:rsidRDefault="00821619" w:rsidP="00821619">
      <w:pPr>
        <w:pStyle w:val="3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</w:p>
    <w:tbl>
      <w:tblPr>
        <w:tblW w:w="9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640"/>
        <w:gridCol w:w="1416"/>
        <w:gridCol w:w="1906"/>
        <w:gridCol w:w="2924"/>
      </w:tblGrid>
      <w:tr w:rsidR="00821619" w:rsidTr="00821619">
        <w:trPr>
          <w:trHeight w:val="6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spacing w:line="269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</w:t>
            </w:r>
          </w:p>
          <w:p w:rsidR="00821619" w:rsidRDefault="00821619">
            <w:pPr>
              <w:spacing w:line="269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spacing w:line="283" w:lineRule="exact"/>
              <w:ind w:right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821619" w:rsidTr="00821619">
        <w:trPr>
          <w:trHeight w:val="4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ind w:left="4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Величина</w:t>
            </w: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9" w:rsidRDefault="008216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21619" w:rsidTr="00821619">
        <w:trPr>
          <w:trHeight w:val="8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619" w:rsidRDefault="00821619">
            <w:pPr>
              <w:spacing w:line="274" w:lineRule="exact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619" w:rsidRDefault="00821619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21619" w:rsidRDefault="00821619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10-12</w:t>
            </w:r>
          </w:p>
          <w:p w:rsidR="00821619" w:rsidRDefault="00821619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19" w:rsidRDefault="00821619">
            <w:pPr>
              <w:spacing w:line="274" w:lineRule="exact"/>
              <w:ind w:left="20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15 – 20 мин  </w:t>
            </w:r>
          </w:p>
        </w:tc>
      </w:tr>
    </w:tbl>
    <w:p w:rsidR="00821619" w:rsidRDefault="00821619" w:rsidP="00821619">
      <w:pPr>
        <w:pStyle w:val="a6"/>
        <w:ind w:firstLine="0"/>
      </w:pPr>
    </w:p>
    <w:p w:rsidR="000A7B36" w:rsidRDefault="00703318"/>
    <w:sectPr w:rsidR="000A7B36" w:rsidSect="0056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AA5"/>
    <w:multiLevelType w:val="multilevel"/>
    <w:tmpl w:val="2CA622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29C1"/>
    <w:rsid w:val="00003297"/>
    <w:rsid w:val="000803E7"/>
    <w:rsid w:val="000B2500"/>
    <w:rsid w:val="000B4984"/>
    <w:rsid w:val="000E194D"/>
    <w:rsid w:val="000F7691"/>
    <w:rsid w:val="0011001F"/>
    <w:rsid w:val="001921FB"/>
    <w:rsid w:val="001B09C6"/>
    <w:rsid w:val="001E0408"/>
    <w:rsid w:val="00203226"/>
    <w:rsid w:val="002D7E1D"/>
    <w:rsid w:val="00316F6C"/>
    <w:rsid w:val="003C62DA"/>
    <w:rsid w:val="00425C17"/>
    <w:rsid w:val="00426C38"/>
    <w:rsid w:val="0046055E"/>
    <w:rsid w:val="004B3AAA"/>
    <w:rsid w:val="004C598E"/>
    <w:rsid w:val="0051453D"/>
    <w:rsid w:val="00562BEC"/>
    <w:rsid w:val="0056736D"/>
    <w:rsid w:val="00573BA3"/>
    <w:rsid w:val="00597604"/>
    <w:rsid w:val="005A47EF"/>
    <w:rsid w:val="005B790E"/>
    <w:rsid w:val="005C29B8"/>
    <w:rsid w:val="005D1F44"/>
    <w:rsid w:val="005D2B70"/>
    <w:rsid w:val="005E7FEB"/>
    <w:rsid w:val="00703318"/>
    <w:rsid w:val="007412A7"/>
    <w:rsid w:val="007668E3"/>
    <w:rsid w:val="007D2762"/>
    <w:rsid w:val="007E1C68"/>
    <w:rsid w:val="00821619"/>
    <w:rsid w:val="00830554"/>
    <w:rsid w:val="0083208A"/>
    <w:rsid w:val="0091119C"/>
    <w:rsid w:val="009229C1"/>
    <w:rsid w:val="00963F49"/>
    <w:rsid w:val="009B5EC5"/>
    <w:rsid w:val="009E606C"/>
    <w:rsid w:val="009E704A"/>
    <w:rsid w:val="00A21736"/>
    <w:rsid w:val="00A51505"/>
    <w:rsid w:val="00A61348"/>
    <w:rsid w:val="00A9255B"/>
    <w:rsid w:val="00AF2316"/>
    <w:rsid w:val="00B4590A"/>
    <w:rsid w:val="00B551E9"/>
    <w:rsid w:val="00B7347E"/>
    <w:rsid w:val="00B92FC6"/>
    <w:rsid w:val="00BD5884"/>
    <w:rsid w:val="00C448F1"/>
    <w:rsid w:val="00C56D63"/>
    <w:rsid w:val="00C76DAF"/>
    <w:rsid w:val="00C83963"/>
    <w:rsid w:val="00C9316C"/>
    <w:rsid w:val="00CD33E3"/>
    <w:rsid w:val="00D36855"/>
    <w:rsid w:val="00D63272"/>
    <w:rsid w:val="00D82AA2"/>
    <w:rsid w:val="00DF0E01"/>
    <w:rsid w:val="00E975FB"/>
    <w:rsid w:val="00EB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1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16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21619"/>
    <w:rPr>
      <w:rFonts w:ascii="Tahoma" w:eastAsia="Tahoma" w:hAnsi="Tahoma" w:cs="Times New Roman"/>
      <w:color w:val="000000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821619"/>
    <w:rPr>
      <w:rFonts w:ascii="Times New Roman" w:eastAsia="Calibri" w:hAnsi="Times New Roman" w:cs="Times New Roman"/>
      <w:sz w:val="28"/>
    </w:rPr>
  </w:style>
  <w:style w:type="paragraph" w:styleId="a6">
    <w:name w:val="No Spacing"/>
    <w:link w:val="a5"/>
    <w:uiPriority w:val="1"/>
    <w:qFormat/>
    <w:rsid w:val="008216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21619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">
    <w:name w:val="Основной текст (2)_"/>
    <w:link w:val="20"/>
    <w:locked/>
    <w:rsid w:val="00821619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619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color w:val="auto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821619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1619"/>
    <w:pPr>
      <w:shd w:val="clear" w:color="auto" w:fill="FFFFFF"/>
      <w:spacing w:before="1140" w:after="2700" w:line="341" w:lineRule="exact"/>
      <w:jc w:val="center"/>
    </w:pPr>
    <w:rPr>
      <w:rFonts w:ascii="Century Gothic" w:eastAsia="Century Gothic" w:hAnsi="Century Gothic" w:cs="Century Gothic"/>
      <w:color w:val="auto"/>
      <w:sz w:val="27"/>
      <w:szCs w:val="27"/>
      <w:lang w:eastAsia="en-US"/>
    </w:rPr>
  </w:style>
  <w:style w:type="character" w:customStyle="1" w:styleId="8">
    <w:name w:val="Основной текст (8)_"/>
    <w:link w:val="80"/>
    <w:locked/>
    <w:rsid w:val="00821619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1619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color w:val="auto"/>
      <w:sz w:val="23"/>
      <w:szCs w:val="23"/>
      <w:lang w:eastAsia="en-US"/>
    </w:rPr>
  </w:style>
  <w:style w:type="character" w:customStyle="1" w:styleId="a8">
    <w:name w:val="Основной текст_"/>
    <w:link w:val="3"/>
    <w:locked/>
    <w:rsid w:val="008216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821619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9">
    <w:name w:val="Подпись к таблице_"/>
    <w:link w:val="aa"/>
    <w:locked/>
    <w:rsid w:val="008216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82161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1">
    <w:name w:val="Подпись к таблице (2)_"/>
    <w:link w:val="22"/>
    <w:locked/>
    <w:rsid w:val="008216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216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1"/>
    <w:basedOn w:val="a"/>
    <w:rsid w:val="00821619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21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сновной текст4"/>
    <w:basedOn w:val="a"/>
    <w:rsid w:val="00821619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Подпись к таблице (3)"/>
    <w:rsid w:val="008216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9"/>
      <w:szCs w:val="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6304</Words>
  <Characters>35933</Characters>
  <Application>Microsoft Office Word</Application>
  <DocSecurity>0</DocSecurity>
  <Lines>299</Lines>
  <Paragraphs>84</Paragraphs>
  <ScaleCrop>false</ScaleCrop>
  <Company>Microsoft</Company>
  <LinksUpToDate>false</LinksUpToDate>
  <CharactersWithSpaces>42153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2017-10-24T01:21:00Z</dcterms:created>
  <dcterms:modified xsi:type="dcterms:W3CDTF">2017-10-24T01:28:00Z</dcterms:modified>
</cp:coreProperties>
</file>