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EF0" w:rsidRPr="003541C6" w:rsidRDefault="006F0EF0">
      <w:pPr>
        <w:pStyle w:val="ConsPlusNormal"/>
        <w:jc w:val="right"/>
        <w:outlineLvl w:val="0"/>
      </w:pPr>
      <w:bookmarkStart w:id="0" w:name="_GoBack"/>
      <w:bookmarkEnd w:id="0"/>
      <w:r w:rsidRPr="003541C6">
        <w:t>Утвержден</w:t>
      </w:r>
    </w:p>
    <w:p w:rsidR="00901D7E" w:rsidRPr="003541C6" w:rsidRDefault="00901D7E" w:rsidP="00901D7E">
      <w:pPr>
        <w:pStyle w:val="ConsPlusNormal"/>
        <w:jc w:val="right"/>
      </w:pPr>
      <w:r w:rsidRPr="003541C6">
        <w:t xml:space="preserve">Постановлением Администрации </w:t>
      </w:r>
    </w:p>
    <w:p w:rsidR="00901D7E" w:rsidRPr="003541C6" w:rsidRDefault="00901D7E" w:rsidP="00901D7E">
      <w:pPr>
        <w:pStyle w:val="ConsPlusNormal"/>
        <w:jc w:val="right"/>
      </w:pPr>
      <w:r w:rsidRPr="003541C6">
        <w:t>МО «Тарбагатайский район»</w:t>
      </w:r>
    </w:p>
    <w:p w:rsidR="00901D7E" w:rsidRPr="003541C6" w:rsidRDefault="001E0A4B" w:rsidP="00901D7E">
      <w:pPr>
        <w:pStyle w:val="ConsPlusNormal"/>
        <w:jc w:val="right"/>
      </w:pPr>
      <w:r w:rsidRPr="003541C6">
        <w:t>о</w:t>
      </w:r>
      <w:r w:rsidR="005533AB">
        <w:t>т «30</w:t>
      </w:r>
      <w:r w:rsidR="00901D7E" w:rsidRPr="003541C6">
        <w:t>»</w:t>
      </w:r>
      <w:r w:rsidR="005533AB">
        <w:t xml:space="preserve"> декабря </w:t>
      </w:r>
      <w:r w:rsidR="00901D7E" w:rsidRPr="003541C6">
        <w:t>20</w:t>
      </w:r>
      <w:r w:rsidR="005533AB">
        <w:t>21</w:t>
      </w:r>
      <w:r w:rsidR="00901D7E" w:rsidRPr="003541C6">
        <w:t>г. №</w:t>
      </w:r>
      <w:r w:rsidR="005533AB">
        <w:t xml:space="preserve"> 1133</w:t>
      </w:r>
    </w:p>
    <w:p w:rsidR="00901D7E" w:rsidRPr="003541C6" w:rsidRDefault="00901D7E" w:rsidP="00901D7E">
      <w:pPr>
        <w:pStyle w:val="ConsPlusNormal"/>
        <w:jc w:val="both"/>
      </w:pPr>
    </w:p>
    <w:p w:rsidR="00EA3A05" w:rsidRPr="00B831FB" w:rsidRDefault="00EA3A05" w:rsidP="00901D7E">
      <w:pPr>
        <w:pStyle w:val="ConsPlusNormal"/>
        <w:jc w:val="both"/>
        <w:rPr>
          <w:sz w:val="28"/>
          <w:szCs w:val="28"/>
        </w:rPr>
      </w:pPr>
    </w:p>
    <w:p w:rsidR="007E0AC2" w:rsidRPr="003541C6" w:rsidRDefault="007E0AC2" w:rsidP="007E0AC2">
      <w:pPr>
        <w:pStyle w:val="ConsPlusTitle"/>
        <w:jc w:val="center"/>
        <w:rPr>
          <w:rFonts w:ascii="Times New Roman" w:hAnsi="Times New Roman" w:cs="Times New Roman"/>
        </w:rPr>
      </w:pPr>
      <w:bookmarkStart w:id="1" w:name="P44"/>
      <w:bookmarkEnd w:id="1"/>
      <w:r w:rsidRPr="003541C6">
        <w:rPr>
          <w:rFonts w:ascii="Times New Roman" w:hAnsi="Times New Roman" w:cs="Times New Roman"/>
        </w:rPr>
        <w:t>ПОРЯДОК</w:t>
      </w:r>
    </w:p>
    <w:p w:rsidR="007E0AC2" w:rsidRPr="003541C6" w:rsidRDefault="007E0AC2" w:rsidP="007E0AC2">
      <w:pPr>
        <w:pStyle w:val="ConsPlusTitle"/>
        <w:jc w:val="center"/>
        <w:rPr>
          <w:rFonts w:ascii="Times New Roman" w:hAnsi="Times New Roman" w:cs="Times New Roman"/>
        </w:rPr>
      </w:pPr>
      <w:r w:rsidRPr="003541C6">
        <w:rPr>
          <w:rFonts w:ascii="Times New Roman" w:hAnsi="Times New Roman" w:cs="Times New Roman"/>
        </w:rPr>
        <w:t>САНКЦИОНИРОВАНИЯ РАСХОДОВ МУНИЦИПАЛЬНЫХ БЮДЖЕТНЫХ</w:t>
      </w:r>
    </w:p>
    <w:p w:rsidR="007E0AC2" w:rsidRPr="003541C6" w:rsidRDefault="007E0AC2" w:rsidP="007E0AC2">
      <w:pPr>
        <w:pStyle w:val="ConsPlusTitle"/>
        <w:jc w:val="center"/>
        <w:rPr>
          <w:rFonts w:ascii="Times New Roman" w:hAnsi="Times New Roman" w:cs="Times New Roman"/>
        </w:rPr>
      </w:pPr>
      <w:r w:rsidRPr="003541C6">
        <w:rPr>
          <w:rFonts w:ascii="Times New Roman" w:hAnsi="Times New Roman" w:cs="Times New Roman"/>
        </w:rPr>
        <w:t>УЧРЕЖДЕНИЙ И МУНИЦИПАЛЬНЫХ АВТОНОМНЫХ УЧРЕЖДЕНИЙ, ЛИЦЕВЫЕ</w:t>
      </w:r>
    </w:p>
    <w:p w:rsidR="007E0AC2" w:rsidRPr="003541C6" w:rsidRDefault="007E0AC2" w:rsidP="007E0AC2">
      <w:pPr>
        <w:pStyle w:val="ConsPlusTitle"/>
        <w:jc w:val="center"/>
        <w:rPr>
          <w:rFonts w:ascii="Times New Roman" w:hAnsi="Times New Roman" w:cs="Times New Roman"/>
        </w:rPr>
      </w:pPr>
      <w:r w:rsidRPr="003541C6">
        <w:rPr>
          <w:rFonts w:ascii="Times New Roman" w:hAnsi="Times New Roman" w:cs="Times New Roman"/>
        </w:rPr>
        <w:t>СЧЕТА КОТОРЫМ ОТКРЫТЫ В УПРАВЛЕНИИ ФЕДЕРАЛЬНОГО КАЗНАЧЕЙСТВА</w:t>
      </w:r>
    </w:p>
    <w:p w:rsidR="007E0AC2" w:rsidRPr="003541C6" w:rsidRDefault="007E0AC2" w:rsidP="007E0AC2">
      <w:pPr>
        <w:pStyle w:val="ConsPlusTitle"/>
        <w:jc w:val="center"/>
        <w:rPr>
          <w:rFonts w:ascii="Times New Roman" w:hAnsi="Times New Roman" w:cs="Times New Roman"/>
        </w:rPr>
      </w:pPr>
      <w:r w:rsidRPr="003541C6">
        <w:rPr>
          <w:rFonts w:ascii="Times New Roman" w:hAnsi="Times New Roman" w:cs="Times New Roman"/>
        </w:rPr>
        <w:t>ПО РЕСПУБЛИКЕ БУРЯТИЯ, ИСТОЧНИКОМ ФИНАНСОВОГО ОБЕСПЕЧЕНИЯ</w:t>
      </w:r>
    </w:p>
    <w:p w:rsidR="007E0AC2" w:rsidRPr="003541C6" w:rsidRDefault="007E0AC2" w:rsidP="007E0AC2">
      <w:pPr>
        <w:pStyle w:val="ConsPlusTitle"/>
        <w:jc w:val="center"/>
        <w:rPr>
          <w:rFonts w:ascii="Times New Roman" w:hAnsi="Times New Roman" w:cs="Times New Roman"/>
        </w:rPr>
      </w:pPr>
      <w:r w:rsidRPr="003541C6">
        <w:rPr>
          <w:rFonts w:ascii="Times New Roman" w:hAnsi="Times New Roman" w:cs="Times New Roman"/>
        </w:rPr>
        <w:t>КОТОРЫХ ЯВЛЯЮТСЯ СУБСИДИИ, ПОЛУЧЕННЫЕ В СООТВЕТСТВИИ</w:t>
      </w:r>
    </w:p>
    <w:p w:rsidR="007E0AC2" w:rsidRPr="003541C6" w:rsidRDefault="007E0AC2" w:rsidP="007E0AC2">
      <w:pPr>
        <w:pStyle w:val="ConsPlusTitle"/>
        <w:jc w:val="center"/>
        <w:rPr>
          <w:rFonts w:ascii="Times New Roman" w:hAnsi="Times New Roman" w:cs="Times New Roman"/>
        </w:rPr>
      </w:pPr>
      <w:r w:rsidRPr="003541C6">
        <w:rPr>
          <w:rFonts w:ascii="Times New Roman" w:hAnsi="Times New Roman" w:cs="Times New Roman"/>
        </w:rPr>
        <w:t>С АБЗАЦЕМ ВТОРЫМ ПУНКТА 1 СТАТЬИ 78.1 И СТАТЬЕЙ 78.2</w:t>
      </w:r>
    </w:p>
    <w:p w:rsidR="007E0AC2" w:rsidRDefault="007E0AC2" w:rsidP="007E0AC2">
      <w:pPr>
        <w:pStyle w:val="ConsPlusTitle"/>
        <w:jc w:val="center"/>
      </w:pPr>
      <w:r w:rsidRPr="003541C6">
        <w:rPr>
          <w:rFonts w:ascii="Times New Roman" w:hAnsi="Times New Roman" w:cs="Times New Roman"/>
        </w:rPr>
        <w:t>БЮДЖЕТНОГО КОДЕКСА РОССИЙСКОЙ ФЕДЕРАЦИИ</w:t>
      </w:r>
    </w:p>
    <w:p w:rsidR="00901D7E" w:rsidRPr="00F04891" w:rsidRDefault="00901D7E" w:rsidP="00901D7E">
      <w:pPr>
        <w:pStyle w:val="ConsPlusTitle"/>
        <w:jc w:val="center"/>
        <w:rPr>
          <w:rFonts w:ascii="Times New Roman" w:hAnsi="Times New Roman" w:cs="Times New Roman"/>
          <w:b w:val="0"/>
          <w:sz w:val="28"/>
          <w:szCs w:val="28"/>
        </w:rPr>
      </w:pPr>
    </w:p>
    <w:p w:rsidR="006F0EF0" w:rsidRDefault="006F0EF0">
      <w:pPr>
        <w:pStyle w:val="ConsPlusNormal"/>
        <w:jc w:val="both"/>
      </w:pPr>
    </w:p>
    <w:p w:rsidR="000F23F0" w:rsidRDefault="006F0EF0" w:rsidP="000F23F0">
      <w:pPr>
        <w:pStyle w:val="ConsPlusNormal"/>
        <w:ind w:firstLine="540"/>
        <w:jc w:val="both"/>
      </w:pPr>
      <w:r>
        <w:t xml:space="preserve">1. Настоящий Порядок устанавливает правила санкционирования </w:t>
      </w:r>
      <w:r w:rsidR="002800F1">
        <w:t xml:space="preserve">Управлением </w:t>
      </w:r>
      <w:r>
        <w:t xml:space="preserve"> Федерального казначейства</w:t>
      </w:r>
      <w:r w:rsidR="002800F1">
        <w:t xml:space="preserve"> по Республике Бурятия (далее УФК по РБ)</w:t>
      </w:r>
      <w:r>
        <w:t xml:space="preserve"> расходов </w:t>
      </w:r>
      <w:r w:rsidR="00A822A2">
        <w:t>муниципальных</w:t>
      </w:r>
      <w:r w:rsidR="002800F1">
        <w:t xml:space="preserve"> </w:t>
      </w:r>
      <w:r>
        <w:t>бюджетных</w:t>
      </w:r>
      <w:r w:rsidR="002800F1">
        <w:t xml:space="preserve"> учреждений и </w:t>
      </w:r>
      <w:r>
        <w:t xml:space="preserve"> </w:t>
      </w:r>
      <w:r w:rsidR="00A822A2">
        <w:t>муниципальных</w:t>
      </w:r>
      <w:r w:rsidR="002800F1">
        <w:t xml:space="preserve"> </w:t>
      </w:r>
      <w:r>
        <w:t xml:space="preserve">автономных учреждений </w:t>
      </w:r>
      <w:r w:rsidR="002800F1">
        <w:t>(далее учреждения)</w:t>
      </w:r>
      <w:r>
        <w:t xml:space="preserve">, источником финансового обеспечения которых являются субсидии, предоставленные учреждениям в соответствии с </w:t>
      </w:r>
      <w:hyperlink r:id="rId4" w:history="1">
        <w:r>
          <w:rPr>
            <w:color w:val="0000FF"/>
          </w:rPr>
          <w:t>абзацем вторым пункта 1 статьи 78.1</w:t>
        </w:r>
      </w:hyperlink>
      <w:r>
        <w:t xml:space="preserve">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МО «Тарбагатайский район» или приобретение объектов недвижимого имущества в муниципальную собственность МО «Тарбагатайский район» в соответствии со </w:t>
      </w:r>
      <w:hyperlink r:id="rId5" w:history="1">
        <w:r>
          <w:rPr>
            <w:color w:val="0000FF"/>
          </w:rPr>
          <w:t>статьей 78.2</w:t>
        </w:r>
      </w:hyperlink>
      <w:r>
        <w:t xml:space="preserve"> Бюджетного кодекса Российской Федера</w:t>
      </w:r>
      <w:r w:rsidR="000F23F0">
        <w:t>ции (далее - целевые субсидии).</w:t>
      </w:r>
    </w:p>
    <w:p w:rsidR="006F0EF0" w:rsidRDefault="006F0EF0" w:rsidP="000F23F0">
      <w:pPr>
        <w:pStyle w:val="ConsPlusNormal"/>
        <w:ind w:firstLine="540"/>
        <w:jc w:val="both"/>
      </w:pPr>
      <w:r>
        <w:t xml:space="preserve">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w:t>
      </w:r>
      <w:r w:rsidRPr="003541C6">
        <w:t>из бюджета МО «Тарбагатайский район»</w:t>
      </w:r>
      <w:r w:rsidR="000F23F0" w:rsidRPr="003541C6">
        <w:t xml:space="preserve"> (далее</w:t>
      </w:r>
      <w:r w:rsidR="00D775EF" w:rsidRPr="003541C6">
        <w:t xml:space="preserve"> </w:t>
      </w:r>
      <w:r w:rsidR="000F23F0" w:rsidRPr="003541C6">
        <w:t xml:space="preserve">- </w:t>
      </w:r>
      <w:r w:rsidR="00A822A2" w:rsidRPr="003541C6">
        <w:t>местный</w:t>
      </w:r>
      <w:r w:rsidR="000F23F0" w:rsidRPr="003541C6">
        <w:t xml:space="preserve"> бюджет)</w:t>
      </w:r>
      <w:r>
        <w:t xml:space="preserve">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w:t>
      </w:r>
      <w:r w:rsidR="002800F1">
        <w:t>УФК по РБ</w:t>
      </w:r>
      <w:r>
        <w:t xml:space="preserve"> в порядке, установленном Федеральным казначейством</w:t>
      </w:r>
      <w:r w:rsidR="000F23F0">
        <w:t>.</w:t>
      </w:r>
    </w:p>
    <w:p w:rsidR="004C508B" w:rsidRDefault="004C508B" w:rsidP="004C508B">
      <w:pPr>
        <w:pStyle w:val="ConsPlusNormal"/>
        <w:spacing w:before="220"/>
        <w:ind w:firstLine="540"/>
        <w:jc w:val="both"/>
      </w:pPr>
      <w:r>
        <w:t xml:space="preserve">3. </w:t>
      </w:r>
      <w:r w:rsidR="00F732BB">
        <w:t>И</w:t>
      </w:r>
      <w:r>
        <w:t xml:space="preserve">сполнительный орган </w:t>
      </w:r>
      <w:r w:rsidR="00F732BB">
        <w:t>МО «Тарбагатайский район»</w:t>
      </w:r>
      <w:r>
        <w:t>, осуществляющий функции и полномочия учредителя в отношении учреждения, если иное не установлено нормативными правовыми актами Глав</w:t>
      </w:r>
      <w:r w:rsidR="00F732BB">
        <w:t>ой МО «Тарбагатайский район» - Руководителем Администрации</w:t>
      </w:r>
      <w:r>
        <w:t xml:space="preserve"> (далее - орган-учредитель), ежегодно представляет в УФК по РБ в виде электронного документа с применением усиленной квалифицированной электронной подписи (далее - в электронном виде) </w:t>
      </w:r>
      <w:hyperlink w:anchor="P192" w:history="1">
        <w:r>
          <w:rPr>
            <w:color w:val="0000FF"/>
          </w:rPr>
          <w:t>Перечень</w:t>
        </w:r>
      </w:hyperlink>
      <w:r>
        <w:t xml:space="preserve"> целевых субсидий на 20__ год (код формы по </w:t>
      </w:r>
      <w:hyperlink r:id="rId6" w:history="1">
        <w:r>
          <w:rPr>
            <w:color w:val="0000FF"/>
          </w:rPr>
          <w:t>ОКУД</w:t>
        </w:r>
      </w:hyperlink>
      <w:r>
        <w:t xml:space="preserve"> 0501015) (далее - Перечень целевых субсидий) по форме согласно приложению N 1 к настоящему Порядку, в котором отражаются целевые субсидии, предоставляемые учреждениям, находящимся в его ведении, в соответствующем финансовом году.</w:t>
      </w:r>
    </w:p>
    <w:p w:rsidR="004C508B" w:rsidRDefault="004C508B" w:rsidP="004C508B">
      <w:pPr>
        <w:pStyle w:val="ConsPlusNormal"/>
        <w:spacing w:before="220"/>
        <w:ind w:firstLine="540"/>
        <w:jc w:val="both"/>
      </w:pPr>
      <w:r>
        <w:t>Перечень целевых субсидий формируется органом-учредителем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УФК по РБ с учетом следующих требований к формату кода субсидии.</w:t>
      </w:r>
    </w:p>
    <w:p w:rsidR="004C508B" w:rsidRDefault="004C508B" w:rsidP="004C508B">
      <w:pPr>
        <w:pStyle w:val="ConsPlusNormal"/>
        <w:spacing w:before="220"/>
        <w:ind w:firstLine="540"/>
        <w:jc w:val="both"/>
      </w:pPr>
      <w:r>
        <w:t>Код субсидии состоит из 9 разрядов:</w:t>
      </w:r>
    </w:p>
    <w:p w:rsidR="004C508B" w:rsidRDefault="004C508B" w:rsidP="004C508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70"/>
        <w:gridCol w:w="370"/>
        <w:gridCol w:w="370"/>
        <w:gridCol w:w="370"/>
        <w:gridCol w:w="397"/>
        <w:gridCol w:w="370"/>
        <w:gridCol w:w="370"/>
        <w:gridCol w:w="370"/>
        <w:gridCol w:w="370"/>
      </w:tblGrid>
      <w:tr w:rsidR="004C508B" w:rsidTr="004D2754">
        <w:tc>
          <w:tcPr>
            <w:tcW w:w="1984" w:type="dxa"/>
            <w:tcBorders>
              <w:top w:val="single" w:sz="4" w:space="0" w:color="auto"/>
              <w:bottom w:val="single" w:sz="4" w:space="0" w:color="auto"/>
            </w:tcBorders>
          </w:tcPr>
          <w:p w:rsidR="004C508B" w:rsidRDefault="004C508B" w:rsidP="004D2754">
            <w:pPr>
              <w:pStyle w:val="ConsPlusNormal"/>
            </w:pPr>
            <w:r>
              <w:t>Номера разрядов</w:t>
            </w:r>
          </w:p>
        </w:tc>
        <w:tc>
          <w:tcPr>
            <w:tcW w:w="370" w:type="dxa"/>
            <w:tcBorders>
              <w:top w:val="single" w:sz="4" w:space="0" w:color="auto"/>
              <w:bottom w:val="single" w:sz="4" w:space="0" w:color="auto"/>
            </w:tcBorders>
          </w:tcPr>
          <w:p w:rsidR="004C508B" w:rsidRDefault="004C508B" w:rsidP="004D2754">
            <w:pPr>
              <w:pStyle w:val="ConsPlusNormal"/>
              <w:jc w:val="center"/>
            </w:pPr>
            <w:r>
              <w:t>1</w:t>
            </w:r>
          </w:p>
        </w:tc>
        <w:tc>
          <w:tcPr>
            <w:tcW w:w="370" w:type="dxa"/>
            <w:tcBorders>
              <w:top w:val="single" w:sz="4" w:space="0" w:color="auto"/>
              <w:bottom w:val="single" w:sz="4" w:space="0" w:color="auto"/>
            </w:tcBorders>
          </w:tcPr>
          <w:p w:rsidR="004C508B" w:rsidRDefault="004C508B" w:rsidP="004D2754">
            <w:pPr>
              <w:pStyle w:val="ConsPlusNormal"/>
              <w:jc w:val="center"/>
            </w:pPr>
            <w:r>
              <w:t>2</w:t>
            </w:r>
          </w:p>
        </w:tc>
        <w:tc>
          <w:tcPr>
            <w:tcW w:w="370" w:type="dxa"/>
            <w:tcBorders>
              <w:top w:val="single" w:sz="4" w:space="0" w:color="auto"/>
              <w:bottom w:val="single" w:sz="4" w:space="0" w:color="auto"/>
            </w:tcBorders>
          </w:tcPr>
          <w:p w:rsidR="004C508B" w:rsidRDefault="004C508B" w:rsidP="004D2754">
            <w:pPr>
              <w:pStyle w:val="ConsPlusNormal"/>
              <w:jc w:val="center"/>
            </w:pPr>
            <w:r>
              <w:t>3</w:t>
            </w:r>
          </w:p>
        </w:tc>
        <w:tc>
          <w:tcPr>
            <w:tcW w:w="370" w:type="dxa"/>
            <w:tcBorders>
              <w:top w:val="single" w:sz="4" w:space="0" w:color="auto"/>
              <w:bottom w:val="single" w:sz="4" w:space="0" w:color="auto"/>
            </w:tcBorders>
          </w:tcPr>
          <w:p w:rsidR="004C508B" w:rsidRDefault="004C508B" w:rsidP="004D2754">
            <w:pPr>
              <w:pStyle w:val="ConsPlusNormal"/>
              <w:jc w:val="center"/>
            </w:pPr>
            <w:r>
              <w:t>4</w:t>
            </w:r>
          </w:p>
        </w:tc>
        <w:tc>
          <w:tcPr>
            <w:tcW w:w="397" w:type="dxa"/>
            <w:tcBorders>
              <w:top w:val="single" w:sz="4" w:space="0" w:color="auto"/>
              <w:bottom w:val="single" w:sz="4" w:space="0" w:color="auto"/>
            </w:tcBorders>
          </w:tcPr>
          <w:p w:rsidR="004C508B" w:rsidRDefault="004C508B" w:rsidP="004D2754">
            <w:pPr>
              <w:pStyle w:val="ConsPlusNormal"/>
              <w:jc w:val="center"/>
            </w:pPr>
            <w:r>
              <w:t>5</w:t>
            </w:r>
          </w:p>
        </w:tc>
        <w:tc>
          <w:tcPr>
            <w:tcW w:w="370" w:type="dxa"/>
            <w:tcBorders>
              <w:top w:val="single" w:sz="4" w:space="0" w:color="auto"/>
              <w:bottom w:val="single" w:sz="4" w:space="0" w:color="auto"/>
            </w:tcBorders>
          </w:tcPr>
          <w:p w:rsidR="004C508B" w:rsidRDefault="004C508B" w:rsidP="004D2754">
            <w:pPr>
              <w:pStyle w:val="ConsPlusNormal"/>
              <w:jc w:val="center"/>
            </w:pPr>
            <w:r>
              <w:t>6</w:t>
            </w:r>
          </w:p>
        </w:tc>
        <w:tc>
          <w:tcPr>
            <w:tcW w:w="370" w:type="dxa"/>
            <w:tcBorders>
              <w:top w:val="single" w:sz="4" w:space="0" w:color="auto"/>
              <w:bottom w:val="single" w:sz="4" w:space="0" w:color="auto"/>
            </w:tcBorders>
          </w:tcPr>
          <w:p w:rsidR="004C508B" w:rsidRDefault="004C508B" w:rsidP="004D2754">
            <w:pPr>
              <w:pStyle w:val="ConsPlusNormal"/>
              <w:jc w:val="center"/>
            </w:pPr>
            <w:r>
              <w:t>7</w:t>
            </w:r>
          </w:p>
        </w:tc>
        <w:tc>
          <w:tcPr>
            <w:tcW w:w="370" w:type="dxa"/>
            <w:tcBorders>
              <w:top w:val="single" w:sz="4" w:space="0" w:color="auto"/>
              <w:bottom w:val="single" w:sz="4" w:space="0" w:color="auto"/>
            </w:tcBorders>
          </w:tcPr>
          <w:p w:rsidR="004C508B" w:rsidRDefault="004C508B" w:rsidP="004D2754">
            <w:pPr>
              <w:pStyle w:val="ConsPlusNormal"/>
              <w:jc w:val="center"/>
            </w:pPr>
            <w:r>
              <w:t>8</w:t>
            </w:r>
          </w:p>
        </w:tc>
        <w:tc>
          <w:tcPr>
            <w:tcW w:w="370" w:type="dxa"/>
            <w:tcBorders>
              <w:top w:val="single" w:sz="4" w:space="0" w:color="auto"/>
              <w:bottom w:val="single" w:sz="4" w:space="0" w:color="auto"/>
            </w:tcBorders>
          </w:tcPr>
          <w:p w:rsidR="004C508B" w:rsidRDefault="004C508B" w:rsidP="004D2754">
            <w:pPr>
              <w:pStyle w:val="ConsPlusNormal"/>
              <w:jc w:val="center"/>
            </w:pPr>
            <w:r>
              <w:t>9</w:t>
            </w:r>
          </w:p>
        </w:tc>
      </w:tr>
    </w:tbl>
    <w:p w:rsidR="004C508B" w:rsidRDefault="004C508B" w:rsidP="004C508B">
      <w:pPr>
        <w:pStyle w:val="ConsPlusNormal"/>
        <w:jc w:val="both"/>
      </w:pPr>
    </w:p>
    <w:p w:rsidR="004C508B" w:rsidRDefault="004C508B" w:rsidP="004C508B">
      <w:pPr>
        <w:pStyle w:val="ConsPlusNormal"/>
        <w:ind w:firstLine="540"/>
        <w:jc w:val="both"/>
      </w:pPr>
      <w:r>
        <w:t>где:</w:t>
      </w:r>
    </w:p>
    <w:p w:rsidR="004C508B" w:rsidRDefault="004C508B" w:rsidP="004C508B">
      <w:pPr>
        <w:pStyle w:val="ConsPlusNormal"/>
        <w:spacing w:before="220"/>
        <w:ind w:firstLine="540"/>
        <w:jc w:val="both"/>
      </w:pPr>
      <w:r>
        <w:t>1 - 3 разряды - код ведомства;</w:t>
      </w:r>
    </w:p>
    <w:p w:rsidR="004C508B" w:rsidRDefault="004C508B" w:rsidP="004C508B">
      <w:pPr>
        <w:pStyle w:val="ConsPlusNormal"/>
        <w:spacing w:before="220"/>
        <w:ind w:firstLine="540"/>
        <w:jc w:val="both"/>
      </w:pPr>
      <w:r>
        <w:t>4 разряд - код типа субсидии;</w:t>
      </w:r>
    </w:p>
    <w:p w:rsidR="004C508B" w:rsidRDefault="004C508B" w:rsidP="004C508B">
      <w:pPr>
        <w:pStyle w:val="ConsPlusNormal"/>
        <w:spacing w:before="220"/>
        <w:ind w:firstLine="540"/>
        <w:jc w:val="both"/>
      </w:pPr>
      <w:r>
        <w:t>5 и 6 разряды - две последние цифры финансового года, в котором предоставляется субсидия;</w:t>
      </w:r>
    </w:p>
    <w:p w:rsidR="004C508B" w:rsidRDefault="004C508B" w:rsidP="004C508B">
      <w:pPr>
        <w:pStyle w:val="ConsPlusNormal"/>
        <w:spacing w:before="220"/>
        <w:ind w:firstLine="540"/>
        <w:jc w:val="both"/>
      </w:pPr>
      <w:r>
        <w:t>7 - 9 разряды - уникальный порядковый номер, присваиваемый органом-учредителем, каждой целевой субсидии.</w:t>
      </w:r>
    </w:p>
    <w:p w:rsidR="004C508B" w:rsidRPr="00CE627A" w:rsidRDefault="004C508B" w:rsidP="004C508B">
      <w:pPr>
        <w:pStyle w:val="ConsPlusNormal"/>
        <w:spacing w:before="220"/>
        <w:ind w:firstLine="540"/>
        <w:jc w:val="both"/>
      </w:pPr>
      <w:r>
        <w:t>4</w:t>
      </w:r>
      <w:r w:rsidRPr="00CE627A">
        <w:t>. УФК по РБ проверяет Перечень целевых субсидий на соответствие установленной форме, на соответствие наименования субсидии ее наименованию, указанному в нормативном правовом акте, устанавливающем порядок предоставления субсидии.</w:t>
      </w:r>
    </w:p>
    <w:p w:rsidR="004C508B" w:rsidRDefault="004C508B" w:rsidP="004C508B">
      <w:pPr>
        <w:pStyle w:val="ConsPlusNormal"/>
        <w:spacing w:before="220"/>
        <w:ind w:firstLine="540"/>
        <w:jc w:val="both"/>
      </w:pPr>
      <w:r w:rsidRPr="00CE627A">
        <w:t>В случае если форма или информация, указанная</w:t>
      </w:r>
      <w:r>
        <w:t xml:space="preserve"> в Перечне целевых субсидий, не соответствуют требованиям, установленным пунктами 3, 4 настоящего Порядка, УФК по РБ не позднее рабочего дня, следующего за днем получения Перечня целевых субсидий, направляет органу-учредителю уведомление в электронной форме, в котором указывается дата и причина возврата.</w:t>
      </w:r>
    </w:p>
    <w:p w:rsidR="004C508B" w:rsidRDefault="004C508B" w:rsidP="004C508B">
      <w:pPr>
        <w:pStyle w:val="ConsPlusNormal"/>
        <w:spacing w:before="220"/>
        <w:ind w:firstLine="540"/>
        <w:jc w:val="both"/>
      </w:pPr>
      <w:r>
        <w:t xml:space="preserve">5. При внесении в течение финансового года изменений в Перечень целевых субсидий в части его дополнения орган-учредитель представляет в УФК по РБ дополнение в </w:t>
      </w:r>
      <w:hyperlink w:anchor="P192" w:history="1">
        <w:r>
          <w:rPr>
            <w:color w:val="0000FF"/>
          </w:rPr>
          <w:t>Перечень</w:t>
        </w:r>
      </w:hyperlink>
      <w:r>
        <w:t xml:space="preserve"> целевых субсидий по форме согласно приложению N 1 к настоящему Порядку.</w:t>
      </w:r>
    </w:p>
    <w:p w:rsidR="004C508B" w:rsidRDefault="004C508B" w:rsidP="004C508B">
      <w:pPr>
        <w:pStyle w:val="ConsPlusNormal"/>
        <w:spacing w:before="220"/>
        <w:ind w:firstLine="540"/>
        <w:jc w:val="both"/>
      </w:pPr>
      <w:r>
        <w:t xml:space="preserve">6. Санкционирование целевых расходов осуществляется на основании направленных в УФК по РБ по месту открытия учреждению отдельного лицевого счета </w:t>
      </w:r>
      <w:hyperlink w:anchor="P330" w:history="1">
        <w:r>
          <w:rPr>
            <w:color w:val="0000FF"/>
          </w:rPr>
          <w:t>Сведений</w:t>
        </w:r>
      </w:hyperlink>
      <w:r>
        <w:t xml:space="preserve"> об операциях с целевыми субсидиями на 20__ год (код формы по </w:t>
      </w:r>
      <w:hyperlink r:id="rId7" w:history="1">
        <w:r>
          <w:rPr>
            <w:color w:val="0000FF"/>
          </w:rPr>
          <w:t>ОКУД</w:t>
        </w:r>
      </w:hyperlink>
      <w:r>
        <w:t xml:space="preserve"> 0501016) (далее - Сведения) согласно приложению N 2 к настоящему Порядку, сформированных учреждением в соответствии с требованиями, установленными </w:t>
      </w:r>
      <w:hyperlink w:anchor="P140" w:history="1">
        <w:r>
          <w:rPr>
            <w:color w:val="0000FF"/>
          </w:rPr>
          <w:t>пунктом 18</w:t>
        </w:r>
      </w:hyperlink>
      <w:r>
        <w:t xml:space="preserve"> настоящего Порядка, в срок не позднее десяти рабочих дней со дня заключения соглашения о предоставлении из </w:t>
      </w:r>
      <w:r w:rsidR="00A822A2">
        <w:t>местного</w:t>
      </w:r>
      <w:r>
        <w:t xml:space="preserve"> бюджета учреждению целевой субсидии (далее - Соглашение), внесения изменений в него.</w:t>
      </w:r>
    </w:p>
    <w:p w:rsidR="004C508B" w:rsidRDefault="004C508B" w:rsidP="004C508B">
      <w:pPr>
        <w:pStyle w:val="ConsPlusNormal"/>
        <w:spacing w:before="220"/>
        <w:ind w:firstLine="540"/>
        <w:jc w:val="both"/>
      </w:pPr>
      <w:bookmarkStart w:id="2" w:name="P81"/>
      <w:bookmarkEnd w:id="2"/>
      <w:r>
        <w:t>7. Учреждение при наличии между учреждением и УФК по РБ электронного документооборота с применением усиленной квалифицированной электронной подписи представляет Сведения, утвержденные руководителем органа-учредителя или лицом, уполномоченным действовать от органа-учредителя, в электронном виде. При отсутствии электронного документооборота с применением усиленной квалифицированной электронной подписи Сведения представляются на бумажном носителе с одновременным представлением на машинном носителе.</w:t>
      </w:r>
    </w:p>
    <w:p w:rsidR="004C508B" w:rsidRDefault="004C508B" w:rsidP="004C508B">
      <w:pPr>
        <w:pStyle w:val="ConsPlusNormal"/>
        <w:spacing w:before="220"/>
        <w:ind w:firstLine="540"/>
        <w:jc w:val="both"/>
      </w:pPr>
      <w:r w:rsidRPr="00CE627A">
        <w:t>УФК по РБ не позднее рабочего дня, следующего за днем представления учреждением в УФК по РБ Сведений на бумажном носителе, проверяет их на идентичность Сведениям, представленным на машинном носителе.</w:t>
      </w:r>
    </w:p>
    <w:p w:rsidR="004C508B" w:rsidRPr="00E27B9D" w:rsidRDefault="004C508B" w:rsidP="004C508B">
      <w:pPr>
        <w:pStyle w:val="ConsPlusNormal"/>
        <w:spacing w:before="220"/>
        <w:ind w:firstLine="540"/>
        <w:jc w:val="both"/>
      </w:pPr>
      <w:r w:rsidRPr="00E27B9D">
        <w:t>8. Санкционирование целевых расходов обособленного подразделения осуществляется на основании Сведений, утвержденных руководителем учреждения, создавшего обособленное подразделение, или иным уполномоченным лицом учреждения.</w:t>
      </w:r>
    </w:p>
    <w:p w:rsidR="004C508B" w:rsidRPr="00E27B9D" w:rsidRDefault="004C508B" w:rsidP="004C508B">
      <w:pPr>
        <w:pStyle w:val="ConsPlusNormal"/>
        <w:spacing w:before="220"/>
        <w:ind w:firstLine="540"/>
        <w:jc w:val="both"/>
      </w:pPr>
      <w:r w:rsidRPr="00E27B9D">
        <w:t xml:space="preserve">Учреждение направляет в УФК по РБ по месту открытия ему отдельного лицевого счета Сведения, утвержденные ему органом-учредителем, в соответствии с </w:t>
      </w:r>
      <w:hyperlink w:anchor="P81" w:history="1">
        <w:r w:rsidRPr="00E27B9D">
          <w:t>пунктом 7</w:t>
        </w:r>
      </w:hyperlink>
      <w:r w:rsidRPr="00E27B9D">
        <w:t xml:space="preserve"> настоящего Порядка, а также сформированные на их основании:</w:t>
      </w:r>
    </w:p>
    <w:p w:rsidR="004C508B" w:rsidRPr="00E27B9D" w:rsidRDefault="004C508B" w:rsidP="004C508B">
      <w:pPr>
        <w:pStyle w:val="ConsPlusNormal"/>
        <w:spacing w:before="220"/>
        <w:ind w:firstLine="540"/>
        <w:jc w:val="both"/>
      </w:pPr>
      <w:r w:rsidRPr="00E27B9D">
        <w:t>- 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rsidR="004C508B" w:rsidRPr="00E27B9D" w:rsidRDefault="004C508B" w:rsidP="004C508B">
      <w:pPr>
        <w:pStyle w:val="ConsPlusNormal"/>
        <w:spacing w:before="220"/>
        <w:ind w:firstLine="540"/>
        <w:jc w:val="both"/>
      </w:pPr>
      <w:r w:rsidRPr="00E27B9D">
        <w:lastRenderedPageBreak/>
        <w:t>- 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УФК по РБ по месту открытия обособленным подразделениям отдельных лицевых счетов.</w:t>
      </w:r>
    </w:p>
    <w:p w:rsidR="004C508B" w:rsidRDefault="004C508B" w:rsidP="004C508B">
      <w:pPr>
        <w:pStyle w:val="ConsPlusNormal"/>
        <w:spacing w:before="220"/>
        <w:ind w:firstLine="540"/>
        <w:jc w:val="both"/>
      </w:pPr>
      <w:r>
        <w:t>9.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4C508B" w:rsidRPr="00CE627A" w:rsidRDefault="004C508B" w:rsidP="004C508B">
      <w:pPr>
        <w:pStyle w:val="ConsPlusNormal"/>
        <w:spacing w:before="220"/>
        <w:ind w:firstLine="540"/>
        <w:jc w:val="both"/>
      </w:pPr>
      <w:r w:rsidRPr="00CE627A">
        <w:t>УФК по РБ осуществляет контроль представленных учреждением Сведений на соответствие содержащейся в них информации данным, указанным в Перечне целевых субсидий, за исключением информации о неиспользованных на начало текущего финансового года остатках целевых субсидий.</w:t>
      </w:r>
    </w:p>
    <w:p w:rsidR="004C508B" w:rsidRDefault="004C508B" w:rsidP="004C508B">
      <w:pPr>
        <w:pStyle w:val="ConsPlusNormal"/>
        <w:spacing w:before="220"/>
        <w:ind w:firstLine="540"/>
        <w:jc w:val="both"/>
      </w:pPr>
      <w:r w:rsidRPr="00CE627A">
        <w:t>10. При внесении изменений в</w:t>
      </w:r>
      <w:r>
        <w:t xml:space="preserve">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4C508B" w:rsidRDefault="004C508B" w:rsidP="004C508B">
      <w:pPr>
        <w:pStyle w:val="ConsPlusNormal"/>
        <w:spacing w:before="220"/>
        <w:ind w:firstLine="540"/>
        <w:jc w:val="both"/>
      </w:pPr>
      <w: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4C508B" w:rsidRDefault="00C35781" w:rsidP="004C508B">
      <w:pPr>
        <w:pStyle w:val="ConsPlusNormal"/>
        <w:spacing w:before="220"/>
        <w:ind w:firstLine="540"/>
        <w:jc w:val="both"/>
      </w:pPr>
      <w:bookmarkStart w:id="3" w:name="P91"/>
      <w:bookmarkStart w:id="4" w:name="P94"/>
      <w:bookmarkEnd w:id="3"/>
      <w:bookmarkEnd w:id="4"/>
      <w:r>
        <w:t>11</w:t>
      </w:r>
      <w:r w:rsidR="004C508B">
        <w:t>.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УФК по РБ не позднее 30 рабочего дня со дня отражения суммы возврата дебиторской задолженности прошлых лет на отдельном лицевом счете учреждения.</w:t>
      </w:r>
    </w:p>
    <w:p w:rsidR="004C508B" w:rsidRDefault="004C508B" w:rsidP="004C508B">
      <w:pPr>
        <w:pStyle w:val="ConsPlusNormal"/>
        <w:spacing w:before="220"/>
        <w:ind w:firstLine="540"/>
        <w:jc w:val="both"/>
      </w:pPr>
      <w:r w:rsidRPr="00CE627A">
        <w:t>До получения Сведений, предусмотренных настоящим пунктом, УФК по РБ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4C508B" w:rsidRDefault="004C508B" w:rsidP="004C508B">
      <w:pPr>
        <w:pStyle w:val="ConsPlusNormal"/>
        <w:spacing w:before="220"/>
        <w:ind w:firstLine="540"/>
        <w:jc w:val="both"/>
      </w:pPr>
      <w: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4C508B" w:rsidRDefault="004C508B" w:rsidP="004C508B">
      <w:pPr>
        <w:pStyle w:val="ConsPlusNormal"/>
        <w:spacing w:before="220"/>
        <w:ind w:firstLine="540"/>
        <w:jc w:val="both"/>
      </w:pPr>
      <w:r>
        <w:t xml:space="preserve">12. </w:t>
      </w:r>
      <w:r w:rsidRPr="00CE627A">
        <w:t xml:space="preserve">УФК по РБ осуществляет проверку Сведений на соответствие требованиям, установленным </w:t>
      </w:r>
      <w:hyperlink w:anchor="P81" w:history="1">
        <w:r w:rsidRPr="00CE627A">
          <w:rPr>
            <w:color w:val="0000FF"/>
          </w:rPr>
          <w:t>пунктами 7</w:t>
        </w:r>
      </w:hyperlink>
      <w:r w:rsidRPr="00CE627A">
        <w:t xml:space="preserve"> - </w:t>
      </w:r>
      <w:hyperlink w:anchor="P94" w:history="1">
        <w:r w:rsidRPr="00CE627A">
          <w:rPr>
            <w:color w:val="0000FF"/>
          </w:rPr>
          <w:t>11</w:t>
        </w:r>
      </w:hyperlink>
      <w:r w:rsidRPr="00CE627A">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4C508B" w:rsidRDefault="004C508B" w:rsidP="004C508B">
      <w:pPr>
        <w:pStyle w:val="ConsPlusNormal"/>
        <w:spacing w:before="220"/>
        <w:ind w:firstLine="540"/>
        <w:jc w:val="both"/>
      </w:pPr>
      <w:r>
        <w:t xml:space="preserve">В случае если Сведения не соответствуют требованиям, установленным </w:t>
      </w:r>
      <w:hyperlink w:anchor="P81" w:history="1">
        <w:r>
          <w:rPr>
            <w:color w:val="0000FF"/>
          </w:rPr>
          <w:t>пунктами 7</w:t>
        </w:r>
      </w:hyperlink>
      <w:r>
        <w:t xml:space="preserve"> - </w:t>
      </w:r>
      <w:hyperlink w:anchor="P94" w:history="1">
        <w:r>
          <w:rPr>
            <w:color w:val="0000FF"/>
          </w:rPr>
          <w:t>11</w:t>
        </w:r>
      </w:hyperlink>
      <w:r>
        <w:t xml:space="preserve"> настоящего Порядка, УФК по РБ в срок, установленный абзацем первым настоящего пункта, направляет учреждению уведомление в электронной форме, в котором указывается дата и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
    <w:p w:rsidR="004C508B" w:rsidRDefault="004C508B" w:rsidP="004C508B">
      <w:pPr>
        <w:pStyle w:val="ConsPlusNormal"/>
        <w:spacing w:before="220"/>
        <w:ind w:firstLine="540"/>
        <w:jc w:val="both"/>
      </w:pPr>
      <w:r>
        <w:t>13</w:t>
      </w:r>
      <w:r w:rsidRPr="00CE627A">
        <w:t>. УФК по РБ на основании Заявки на</w:t>
      </w:r>
      <w:r>
        <w:t xml:space="preserve"> кассовый расход (сокращенной) (код формы по КФД 0531851) при отсутствии Сведений, соответствующих </w:t>
      </w:r>
      <w:hyperlink w:anchor="P91" w:history="1">
        <w:r>
          <w:rPr>
            <w:color w:val="0000FF"/>
          </w:rPr>
          <w:t>пунктам 11</w:t>
        </w:r>
      </w:hyperlink>
      <w:r w:rsidR="00E52CAF">
        <w:t xml:space="preserve"> </w:t>
      </w:r>
      <w:r>
        <w:t xml:space="preserve"> </w:t>
      </w:r>
      <w:r w:rsidR="00C35781">
        <w:t>н</w:t>
      </w:r>
      <w:r>
        <w:t xml:space="preserve">астоящего Порядка, и </w:t>
      </w:r>
      <w:r>
        <w:lastRenderedPageBreak/>
        <w:t xml:space="preserve">неперечислении учреждениями в </w:t>
      </w:r>
      <w:r w:rsidR="0052074B">
        <w:t>местный</w:t>
      </w:r>
      <w:r>
        <w:t xml:space="preserve"> бюджет в срок, установленный Порядком </w:t>
      </w:r>
      <w:r w:rsidR="00C35781">
        <w:t xml:space="preserve">возврата остатков субсидий, предоставленных </w:t>
      </w:r>
      <w:r w:rsidR="0052074B">
        <w:t>из местного бюджета муниципальным бюджетным и автономным учреждениям МО «Тарбагатайский район»</w:t>
      </w:r>
      <w:r>
        <w:t xml:space="preserve">, </w:t>
      </w:r>
      <w:r w:rsidR="0052074B" w:rsidRPr="00CE627A">
        <w:t>утвержденном Распоряжением Администрации МО «Тарбагатайский район»</w:t>
      </w:r>
      <w:r w:rsidR="00E27B9D" w:rsidRPr="00CE627A">
        <w:t xml:space="preserve"> 30.12.2016 г. №714</w:t>
      </w:r>
      <w:r w:rsidRPr="00CE627A">
        <w:t xml:space="preserve">, </w:t>
      </w:r>
      <w:r w:rsidR="00361644" w:rsidRPr="00CE627A">
        <w:t xml:space="preserve">лицевые счета которых открыты в УФК по РБ, </w:t>
      </w:r>
      <w:r w:rsidRPr="00CE627A">
        <w:t xml:space="preserve">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перечисляет в доход </w:t>
      </w:r>
      <w:r w:rsidR="00361644" w:rsidRPr="00CE627A">
        <w:t>местного</w:t>
      </w:r>
      <w:r w:rsidRPr="00CE627A">
        <w:t xml:space="preserve"> бюджета не позднее 10-го рабочего дня после наступлени</w:t>
      </w:r>
      <w:r>
        <w:t>я установленных сроков.</w:t>
      </w:r>
    </w:p>
    <w:p w:rsidR="004C508B" w:rsidRDefault="004C508B" w:rsidP="004C508B">
      <w:pPr>
        <w:pStyle w:val="ConsPlusNormal"/>
        <w:spacing w:before="220"/>
        <w:ind w:firstLine="540"/>
        <w:jc w:val="both"/>
      </w:pPr>
      <w:bookmarkStart w:id="5" w:name="P104"/>
      <w:bookmarkEnd w:id="5"/>
      <w:r>
        <w:t xml:space="preserve">14. Для санкционирования целевых расходов учреждение направляет в УФК по РБ распоряжения о совершении казначейских платежей, установленные </w:t>
      </w:r>
      <w:hyperlink r:id="rId8" w:history="1">
        <w:r>
          <w:rPr>
            <w:color w:val="0000FF"/>
          </w:rPr>
          <w:t>Порядком</w:t>
        </w:r>
      </w:hyperlink>
      <w:r>
        <w:t xml:space="preserve"> казначейского обслуживания, утвержденным приказом Федерального казначейства от 14.05.2020 N 21н, и </w:t>
      </w:r>
      <w:hyperlink r:id="rId9" w:history="1">
        <w:r>
          <w:rPr>
            <w:color w:val="0000FF"/>
          </w:rPr>
          <w:t>Правилами</w:t>
        </w:r>
      </w:hyperlink>
      <w:r>
        <w:t xml:space="preserve">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утвержденными приказом Федерального казначейства от 15.05.2020 N 22н (далее - Распоряжение о совершении казначейских платежей, Правила обеспечения денежными средствами).</w:t>
      </w:r>
    </w:p>
    <w:p w:rsidR="004C508B" w:rsidRDefault="004C508B" w:rsidP="004C508B">
      <w:pPr>
        <w:pStyle w:val="ConsPlusNormal"/>
        <w:spacing w:before="220"/>
        <w:ind w:firstLine="540"/>
        <w:jc w:val="both"/>
      </w:pPr>
      <w:r>
        <w:t>В случае санкционирования целевых расходов, связанных с поставкой товаров, выполнением работ, оказанием услуг, учреждение направляет в УФК по РБ вместе с Распоряжением о совершении казначейских платежей копии указанных в нем договора (контракта), а также иных документов, подтверждающих факт поставки товаров, выполнения работ, оказания услуг, (далее - документ-основание).</w:t>
      </w:r>
    </w:p>
    <w:p w:rsidR="004C508B" w:rsidRDefault="004C508B" w:rsidP="004C508B">
      <w:pPr>
        <w:pStyle w:val="ConsPlusNormal"/>
        <w:spacing w:before="220"/>
        <w:ind w:firstLine="540"/>
        <w:jc w:val="both"/>
      </w:pPr>
      <w: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4C508B" w:rsidRPr="00CE627A" w:rsidRDefault="004C508B" w:rsidP="004C508B">
      <w:pPr>
        <w:pStyle w:val="ConsPlusNormal"/>
        <w:spacing w:before="220"/>
        <w:ind w:firstLine="540"/>
        <w:jc w:val="both"/>
      </w:pPr>
      <w:bookmarkStart w:id="6" w:name="P109"/>
      <w:bookmarkEnd w:id="6"/>
      <w:r>
        <w:t>15</w:t>
      </w:r>
      <w:r w:rsidRPr="00CE627A">
        <w:t>. При санкционировании целевых расходов УФК по РБ проверяет Распоряжения о совершении казначейских платежей и документы-основания по следующим направлениям:</w:t>
      </w:r>
    </w:p>
    <w:p w:rsidR="004C508B" w:rsidRPr="00CE627A" w:rsidRDefault="004C508B" w:rsidP="004C508B">
      <w:pPr>
        <w:pStyle w:val="ConsPlusNormal"/>
        <w:spacing w:before="220"/>
        <w:ind w:firstLine="540"/>
        <w:jc w:val="both"/>
      </w:pPr>
      <w:r w:rsidRPr="00CE627A">
        <w:t>1) соответствие Распоряжения о совершении казначейских платежей Порядку казначейского обслуживания (Правилам обеспечения денежными средствами);</w:t>
      </w:r>
    </w:p>
    <w:p w:rsidR="004C508B" w:rsidRPr="00CE627A" w:rsidRDefault="004C508B" w:rsidP="004C508B">
      <w:pPr>
        <w:pStyle w:val="ConsPlusNormal"/>
        <w:spacing w:before="220"/>
        <w:ind w:firstLine="540"/>
        <w:jc w:val="both"/>
      </w:pPr>
      <w:r w:rsidRPr="00CE627A">
        <w:t>2) наличие в Распоряжении о совершении казначейских платежей кодов бюджетной классификации, по которым необходимо произвести перечисления, кода субсидии и их соответствие кодам бюджетной классификации, коду субсидии, указанным в Сведениях по соответствующему коду субсидии;</w:t>
      </w:r>
    </w:p>
    <w:p w:rsidR="004C508B" w:rsidRPr="00CE627A" w:rsidRDefault="004C508B" w:rsidP="004C508B">
      <w:pPr>
        <w:pStyle w:val="ConsPlusNormal"/>
        <w:spacing w:before="220"/>
        <w:ind w:firstLine="540"/>
        <w:jc w:val="both"/>
      </w:pPr>
      <w:r w:rsidRPr="00CE627A">
        <w:t>3) соответствие указанного в Распоряжении о совершении казначейских платежей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4C508B" w:rsidRPr="00CE627A" w:rsidRDefault="004C508B" w:rsidP="004C508B">
      <w:pPr>
        <w:pStyle w:val="ConsPlusNormal"/>
        <w:spacing w:before="220"/>
        <w:ind w:firstLine="540"/>
        <w:jc w:val="both"/>
      </w:pPr>
      <w:r w:rsidRPr="00CE627A">
        <w:t>4) соответствие реквизитов (наименование, номер, дата, реквизиты получателя платежа) документа-основания реквизитам, указанным в Распоряжении о совершении казначейских платежей;</w:t>
      </w:r>
    </w:p>
    <w:p w:rsidR="004C508B" w:rsidRPr="00CE627A" w:rsidRDefault="004C508B" w:rsidP="004C508B">
      <w:pPr>
        <w:pStyle w:val="ConsPlusNormal"/>
        <w:spacing w:before="220"/>
        <w:ind w:firstLine="540"/>
        <w:jc w:val="both"/>
      </w:pPr>
      <w:r w:rsidRPr="00CE627A">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 о совершении казначейских платежей;</w:t>
      </w:r>
    </w:p>
    <w:p w:rsidR="004C508B" w:rsidRPr="00CE627A" w:rsidRDefault="004C508B" w:rsidP="004C508B">
      <w:pPr>
        <w:pStyle w:val="ConsPlusNormal"/>
        <w:spacing w:before="220"/>
        <w:ind w:firstLine="540"/>
        <w:jc w:val="both"/>
      </w:pPr>
      <w:r w:rsidRPr="00CE627A">
        <w:t>6) соответствие указанного в Распоряжении о совершении казначейских платежей кода бюджетной классификации указанному в Сведениях по соответствующему коду субсидии;</w:t>
      </w:r>
    </w:p>
    <w:p w:rsidR="004C508B" w:rsidRPr="00CE627A" w:rsidRDefault="004C508B" w:rsidP="004C508B">
      <w:pPr>
        <w:pStyle w:val="ConsPlusNormal"/>
        <w:spacing w:before="220"/>
        <w:ind w:firstLine="540"/>
        <w:jc w:val="both"/>
      </w:pPr>
      <w:r w:rsidRPr="00CE627A">
        <w:t xml:space="preserve">7) непревышение суммы, указанной в Распоряжении о совершении казначейских платежей, </w:t>
      </w:r>
      <w:r w:rsidRPr="00CE627A">
        <w:lastRenderedPageBreak/>
        <w:t>над суммой остатка планируемых выплат, указанной в Сведениях по соответствующему коду бюджетной классификации, коду субсидии, учтенной на отдельном лицевом счете;</w:t>
      </w:r>
    </w:p>
    <w:p w:rsidR="004C508B" w:rsidRPr="00CE627A" w:rsidRDefault="004C508B" w:rsidP="004C508B">
      <w:pPr>
        <w:pStyle w:val="ConsPlusNormal"/>
        <w:spacing w:before="220"/>
        <w:ind w:firstLine="540"/>
        <w:jc w:val="both"/>
      </w:pPr>
      <w:r w:rsidRPr="00CE627A">
        <w:t>8) непревышение суммы, указанной в Распоряжении о совершении казначейских платежей, над суммой остатка соответствующей целевой субсидии, учтенной на отдельном лицевом счете.</w:t>
      </w:r>
    </w:p>
    <w:p w:rsidR="004C508B" w:rsidRPr="00CE627A" w:rsidRDefault="004C508B" w:rsidP="004C508B">
      <w:pPr>
        <w:pStyle w:val="ConsPlusNormal"/>
        <w:spacing w:before="220"/>
        <w:ind w:firstLine="540"/>
        <w:jc w:val="both"/>
      </w:pPr>
      <w:r w:rsidRPr="00CE627A">
        <w:t xml:space="preserve">16. УФК по РБ при положительном результате проверки, предусмотренной </w:t>
      </w:r>
      <w:hyperlink w:anchor="P104" w:history="1">
        <w:r w:rsidRPr="00CE627A">
          <w:rPr>
            <w:color w:val="0000FF"/>
          </w:rPr>
          <w:t>пунктами 14</w:t>
        </w:r>
      </w:hyperlink>
      <w:r w:rsidRPr="00CE627A">
        <w:t xml:space="preserve"> и </w:t>
      </w:r>
      <w:hyperlink w:anchor="P109" w:history="1">
        <w:r w:rsidRPr="00CE627A">
          <w:rPr>
            <w:color w:val="0000FF"/>
          </w:rPr>
          <w:t>15</w:t>
        </w:r>
      </w:hyperlink>
      <w:r w:rsidRPr="00CE627A">
        <w:t xml:space="preserve"> настоящего Порядка, не позднее рабочего дня, следующего за днем представления учреждением в УФК по РБ Распоряжения о совершении казначейских платежей, осуществляет санкционирование оплаты целевых расходов и принимает к исполнению Распоряжение о совершении казначейских платежей.</w:t>
      </w:r>
    </w:p>
    <w:p w:rsidR="004C508B" w:rsidRPr="00CE627A" w:rsidRDefault="004C508B" w:rsidP="004C508B">
      <w:pPr>
        <w:pStyle w:val="ConsPlusNormal"/>
        <w:spacing w:before="220"/>
        <w:ind w:firstLine="540"/>
        <w:jc w:val="both"/>
      </w:pPr>
      <w:r w:rsidRPr="00CE627A">
        <w:t xml:space="preserve">В случае несоблюдения требований, установленных </w:t>
      </w:r>
      <w:hyperlink w:anchor="P104" w:history="1">
        <w:r w:rsidRPr="00CE627A">
          <w:rPr>
            <w:color w:val="0000FF"/>
          </w:rPr>
          <w:t>пунктами 14</w:t>
        </w:r>
      </w:hyperlink>
      <w:r w:rsidRPr="00CE627A">
        <w:t xml:space="preserve"> и </w:t>
      </w:r>
      <w:hyperlink w:anchor="P109" w:history="1">
        <w:r w:rsidRPr="00CE627A">
          <w:rPr>
            <w:color w:val="0000FF"/>
          </w:rPr>
          <w:t>15</w:t>
        </w:r>
      </w:hyperlink>
      <w:r w:rsidRPr="00CE627A">
        <w:t xml:space="preserve"> настоящего Порядка, УФК по РБ в срок, установленный абзацем первым настоящего пункта, направляет учреждению уведомление в электронной форме, в котором указывается дата и причина отказа в санкционировании целевых расходов в случае, если Распоряжение о совершении казначейских платежей представлялось учреждением в электронном виде, или возвращает учреждению Распоряжение о совершении казначейских платежей на бумажном носителе с указанием в прилагаемом уведомлении даты и причины возврата.</w:t>
      </w:r>
    </w:p>
    <w:p w:rsidR="004C508B" w:rsidRPr="00CE627A" w:rsidRDefault="004C508B" w:rsidP="004C508B">
      <w:pPr>
        <w:pStyle w:val="ConsPlusNormal"/>
        <w:spacing w:before="220"/>
        <w:ind w:firstLine="540"/>
        <w:jc w:val="both"/>
      </w:pPr>
      <w:r w:rsidRPr="00CE627A">
        <w:t xml:space="preserve">17. Положения </w:t>
      </w:r>
      <w:hyperlink w:anchor="P109" w:history="1">
        <w:r w:rsidRPr="00CE627A">
          <w:rPr>
            <w:color w:val="0000FF"/>
          </w:rPr>
          <w:t>подпункта 8 пункта 15</w:t>
        </w:r>
      </w:hyperlink>
      <w:r w:rsidRPr="00CE627A">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4C508B" w:rsidRPr="00CE627A" w:rsidRDefault="004C508B" w:rsidP="004C508B">
      <w:pPr>
        <w:pStyle w:val="ConsPlusNormal"/>
        <w:spacing w:before="220"/>
        <w:ind w:firstLine="540"/>
        <w:jc w:val="both"/>
      </w:pPr>
      <w:r w:rsidRPr="00CE627A">
        <w:t xml:space="preserve"> УФК по РБ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УФК по РБ для учета операций со средствами, получаемыми учреждением из </w:t>
      </w:r>
      <w:r w:rsidR="00361644" w:rsidRPr="00CE627A">
        <w:t>местного</w:t>
      </w:r>
      <w:r w:rsidRPr="00CE627A">
        <w:t xml:space="preserve"> бюджета в соответствии с </w:t>
      </w:r>
      <w:hyperlink r:id="rId10" w:history="1">
        <w:r w:rsidRPr="00CE627A">
          <w:rPr>
            <w:color w:val="0000FF"/>
          </w:rPr>
          <w:t>абзацем первым пункта 1 статьи 78.1</w:t>
        </w:r>
      </w:hyperlink>
      <w:r w:rsidRPr="00CE627A">
        <w:t xml:space="preserve"> Бюджетного кодекса Российской Федерации и от приносящей доход деятельности, при возмещении таких расходов в случаях, предусмотренных федеральным законодательством и законодательством Республики Бурятия, в следующем порядке.</w:t>
      </w:r>
    </w:p>
    <w:p w:rsidR="004C508B" w:rsidRDefault="004C508B" w:rsidP="004C508B">
      <w:pPr>
        <w:pStyle w:val="ConsPlusNormal"/>
        <w:spacing w:before="220"/>
        <w:ind w:firstLine="540"/>
        <w:jc w:val="both"/>
      </w:pPr>
      <w:r w:rsidRPr="00CE627A">
        <w:t>В целях осуществления возмещения целевых расходов учреждение представляет в УФК</w:t>
      </w:r>
      <w:r>
        <w:t xml:space="preserve"> по РБ заявление, подписанное руководителем учреждения (иным уполномоченным лицом учреждения) и согласованное органом-учредителем, с приложением копий Распоряжения о совершении казначейских платежей и документов-оснований, подтверждающих произведенные целевые расходы, подлежащие возмещению.</w:t>
      </w:r>
    </w:p>
    <w:p w:rsidR="004C508B" w:rsidRDefault="004C508B" w:rsidP="004C508B">
      <w:pPr>
        <w:pStyle w:val="ConsPlusNormal"/>
        <w:spacing w:before="220"/>
        <w:ind w:firstLine="540"/>
        <w:jc w:val="both"/>
      </w:pPr>
      <w: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4C508B" w:rsidRDefault="004C508B" w:rsidP="004C508B">
      <w:pPr>
        <w:pStyle w:val="ConsPlusNormal"/>
        <w:spacing w:before="220"/>
        <w:ind w:firstLine="540"/>
        <w:jc w:val="both"/>
      </w:pPr>
      <w:r>
        <w:t>Операция по возмещению целевых расходов учреждения осуществляется на основании представленной учреждением в УФК по РБ Заявки на кассовый расход (код формы по КФД 0531801) на списание средств с отдельного лицевого счета, открытого учреждению в УФК по РБ, оформленной с учетом следующих особенностей:</w:t>
      </w:r>
    </w:p>
    <w:p w:rsidR="004C508B" w:rsidRDefault="004C508B" w:rsidP="004C508B">
      <w:pPr>
        <w:pStyle w:val="ConsPlusNormal"/>
        <w:spacing w:before="220"/>
        <w:ind w:firstLine="540"/>
        <w:jc w:val="both"/>
      </w:pPr>
      <w:r>
        <w:t>в графе "Назначение платежа (примечание)" раздела 1 "Реквизиты документа" указывается "возмещение целевых расходов согласно заявлению от "__" _______ г. N "__";</w:t>
      </w:r>
    </w:p>
    <w:p w:rsidR="004C508B" w:rsidRDefault="004C508B" w:rsidP="004C508B">
      <w:pPr>
        <w:pStyle w:val="ConsPlusNormal"/>
        <w:spacing w:before="220"/>
        <w:ind w:firstLine="540"/>
        <w:jc w:val="both"/>
      </w:pPr>
      <w:r>
        <w:t>в разделе 2 "Реквизиты документа-основания" указываются:</w:t>
      </w:r>
    </w:p>
    <w:p w:rsidR="004C508B" w:rsidRDefault="004C508B" w:rsidP="004C508B">
      <w:pPr>
        <w:pStyle w:val="ConsPlusNormal"/>
        <w:spacing w:before="220"/>
        <w:ind w:firstLine="540"/>
        <w:jc w:val="both"/>
      </w:pPr>
      <w:r>
        <w:lastRenderedPageBreak/>
        <w:t>в графе 1 - "заявление";</w:t>
      </w:r>
    </w:p>
    <w:p w:rsidR="004C508B" w:rsidRDefault="004C508B" w:rsidP="004C508B">
      <w:pPr>
        <w:pStyle w:val="ConsPlusNormal"/>
        <w:spacing w:before="220"/>
        <w:ind w:firstLine="540"/>
        <w:jc w:val="both"/>
      </w:pPr>
      <w:r>
        <w:t>в графе 2 - номер заявления;</w:t>
      </w:r>
    </w:p>
    <w:p w:rsidR="004C508B" w:rsidRDefault="004C508B" w:rsidP="004C508B">
      <w:pPr>
        <w:pStyle w:val="ConsPlusNormal"/>
        <w:spacing w:before="220"/>
        <w:ind w:firstLine="540"/>
        <w:jc w:val="both"/>
      </w:pPr>
      <w:r>
        <w:t>в графе 3 - дата заявления;</w:t>
      </w:r>
    </w:p>
    <w:p w:rsidR="004C508B" w:rsidRDefault="004C508B" w:rsidP="004C508B">
      <w:pPr>
        <w:pStyle w:val="ConsPlusNormal"/>
        <w:spacing w:before="220"/>
        <w:ind w:firstLine="540"/>
        <w:jc w:val="both"/>
      </w:pPr>
      <w:r>
        <w:t>в графе 5 "Код цели (аналитический код)" раздела 5 "Расшифровка заявки на кассовый расход" указывается соответствующий код субсидии.</w:t>
      </w:r>
    </w:p>
    <w:p w:rsidR="004C508B" w:rsidRDefault="004C508B" w:rsidP="004C508B">
      <w:pPr>
        <w:pStyle w:val="ConsPlusNormal"/>
        <w:spacing w:before="220"/>
        <w:ind w:firstLine="540"/>
        <w:jc w:val="both"/>
      </w:pPr>
      <w:r w:rsidRPr="00CE627A">
        <w:t>Санкционирование операций по возмещению целевых расходов за счет целевой субсидии осуществляется УФК по РБ при условии соответствия сумм, кодов бюджетной классификации и кода субсидии, указанных в Распоряжении о совершении казначейских платежей, суммам, кодам бюджетной классификации и коду субсидии, указанным в представленном учреждением заявлении.</w:t>
      </w:r>
    </w:p>
    <w:p w:rsidR="004C508B" w:rsidRDefault="004C508B" w:rsidP="004C508B">
      <w:pPr>
        <w:pStyle w:val="ConsPlusNormal"/>
        <w:spacing w:before="220"/>
        <w:ind w:firstLine="540"/>
        <w:jc w:val="both"/>
      </w:pPr>
      <w:bookmarkStart w:id="7" w:name="P140"/>
      <w:bookmarkEnd w:id="7"/>
      <w:r>
        <w:t>18. При составлении Сведений учреждением в них указываются:</w:t>
      </w:r>
    </w:p>
    <w:p w:rsidR="004C508B" w:rsidRDefault="004C508B" w:rsidP="004C508B">
      <w:pPr>
        <w:pStyle w:val="ConsPlusNormal"/>
        <w:spacing w:before="220"/>
        <w:ind w:firstLine="540"/>
        <w:jc w:val="both"/>
      </w:pPr>
      <w:r>
        <w:t>а) в заголовочной части:</w:t>
      </w:r>
    </w:p>
    <w:p w:rsidR="004C508B" w:rsidRDefault="004C508B" w:rsidP="004C508B">
      <w:pPr>
        <w:pStyle w:val="ConsPlusNormal"/>
        <w:spacing w:before="220"/>
        <w:ind w:firstLine="540"/>
        <w:jc w:val="both"/>
      </w:pPr>
      <w:r>
        <w:t>дата составления Сведений с указанием в кодовой зоне даты составления документа и даты представления Сведений, предшествующих настоящим в формате "ДД.ММ.ГГГГ";</w:t>
      </w:r>
    </w:p>
    <w:p w:rsidR="004C508B" w:rsidRDefault="004C508B" w:rsidP="004C508B">
      <w:pPr>
        <w:pStyle w:val="ConsPlusNormal"/>
        <w:spacing w:before="220"/>
        <w:ind w:firstLine="540"/>
        <w:jc w:val="both"/>
      </w:pPr>
      <w:r>
        <w:t>в строке "Наименование учреждения" - полное или сокращенное наименование учреждения с указанием в кодовой зоне:</w:t>
      </w:r>
    </w:p>
    <w:p w:rsidR="004C508B" w:rsidRDefault="004C508B" w:rsidP="004C508B">
      <w:pPr>
        <w:pStyle w:val="ConsPlusNormal"/>
        <w:spacing w:before="220"/>
        <w:ind w:firstLine="540"/>
        <w:jc w:val="both"/>
      </w:pPr>
      <w: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4C508B" w:rsidRDefault="004C508B" w:rsidP="004C508B">
      <w:pPr>
        <w:pStyle w:val="ConsPlusNormal"/>
        <w:spacing w:before="220"/>
        <w:ind w:firstLine="540"/>
        <w:jc w:val="both"/>
      </w:pPr>
      <w:r>
        <w:t>идентификационного номера налогоплательщика (ИНН) и кода причины постановки его на учет в налоговом органе (КПП);</w:t>
      </w:r>
    </w:p>
    <w:p w:rsidR="004C508B" w:rsidRDefault="004C508B" w:rsidP="004C508B">
      <w:pPr>
        <w:pStyle w:val="ConsPlusNormal"/>
        <w:spacing w:before="220"/>
        <w:ind w:firstLine="540"/>
        <w:jc w:val="both"/>
      </w:pPr>
      <w:r>
        <w:t>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4C508B" w:rsidRDefault="004C508B" w:rsidP="004C508B">
      <w:pPr>
        <w:pStyle w:val="ConsPlusNormal"/>
        <w:spacing w:before="220"/>
        <w:ind w:firstLine="540"/>
        <w:jc w:val="both"/>
      </w:pPr>
      <w:r>
        <w:t>уникального кода обособленного учреждения по Сводному реестру и номера открытого ему отдельного лицевого счета;</w:t>
      </w:r>
    </w:p>
    <w:p w:rsidR="004C508B" w:rsidRDefault="004C508B" w:rsidP="004C508B">
      <w:pPr>
        <w:pStyle w:val="ConsPlusNormal"/>
        <w:spacing w:before="220"/>
        <w:ind w:firstLine="540"/>
        <w:jc w:val="both"/>
      </w:pPr>
      <w:r>
        <w:t>кода причины постановки его на учет в налоговом органе (КПП) в случае, если целевые расходы осуществляются обособленным подразделением;</w:t>
      </w:r>
    </w:p>
    <w:p w:rsidR="004C508B" w:rsidRDefault="004C508B" w:rsidP="004C508B">
      <w:pPr>
        <w:pStyle w:val="ConsPlusNormal"/>
        <w:spacing w:before="220"/>
        <w:ind w:firstLine="540"/>
        <w:jc w:val="both"/>
      </w:pPr>
      <w:r>
        <w:t xml:space="preserve">в строке "Наименование органа, осуществляющего функции и полномочия учредителя" указывается полное или сокращенное наименование органа-учредителя с указанием в кодовой зоне его лицевого счета и кода главного распорядителя бюджетных </w:t>
      </w:r>
      <w:r w:rsidRPr="00E27B9D">
        <w:t>средств (код Главы по БК);</w:t>
      </w:r>
    </w:p>
    <w:p w:rsidR="004C508B" w:rsidRDefault="004C508B" w:rsidP="004C508B">
      <w:pPr>
        <w:pStyle w:val="ConsPlusNormal"/>
        <w:spacing w:before="220"/>
        <w:ind w:firstLine="540"/>
        <w:jc w:val="both"/>
      </w:pPr>
      <w:r>
        <w:t>в строке "Наименование территориального органа Федерального казначейства, осуществляющего ведение лицевого счета" указывается наименование УФК по РБ, в котором учреждению открыт отдельный лицевой счет, с указанием в кодовой зоне кода по КОФК;</w:t>
      </w:r>
    </w:p>
    <w:p w:rsidR="004C508B" w:rsidRDefault="004C508B" w:rsidP="004C508B">
      <w:pPr>
        <w:pStyle w:val="ConsPlusNormal"/>
        <w:spacing w:before="220"/>
        <w:ind w:firstLine="540"/>
        <w:jc w:val="both"/>
      </w:pPr>
      <w:r>
        <w:t>б) в табличной части:</w:t>
      </w:r>
    </w:p>
    <w:p w:rsidR="004C508B" w:rsidRDefault="004C508B" w:rsidP="004C508B">
      <w:pPr>
        <w:pStyle w:val="ConsPlusNormal"/>
        <w:spacing w:before="220"/>
        <w:ind w:firstLine="540"/>
        <w:jc w:val="both"/>
      </w:pPr>
      <w:r>
        <w:t>в графах 1 и 2 - наименование целевой субсидии и код субсидии в соответствии с Перечнем кодов субсидий;</w:t>
      </w:r>
    </w:p>
    <w:p w:rsidR="004C508B" w:rsidRDefault="004C508B" w:rsidP="004C508B">
      <w:pPr>
        <w:pStyle w:val="ConsPlusNormal"/>
        <w:spacing w:before="220"/>
        <w:ind w:firstLine="540"/>
        <w:jc w:val="both"/>
      </w:pPr>
      <w:r>
        <w:t>в графах 3 и 4 - номер и дата Соглашения. В случае если заключение Соглашения не предусмотрено, показатели не формируются;</w:t>
      </w:r>
    </w:p>
    <w:p w:rsidR="004C508B" w:rsidRDefault="004C508B" w:rsidP="004C508B">
      <w:pPr>
        <w:pStyle w:val="ConsPlusNormal"/>
        <w:spacing w:before="220"/>
        <w:ind w:firstLine="540"/>
        <w:jc w:val="both"/>
      </w:pPr>
      <w:r>
        <w:t xml:space="preserve">в графе 5 &lt;*&gt; - идентификатор Соглашения. В случае если заключение Соглашения не </w:t>
      </w:r>
      <w:r>
        <w:lastRenderedPageBreak/>
        <w:t>предусмот</w:t>
      </w:r>
      <w:r w:rsidR="00E27B9D">
        <w:t>рено, показатели не формируются.</w:t>
      </w:r>
    </w:p>
    <w:p w:rsidR="004C508B" w:rsidRDefault="004C508B" w:rsidP="004C508B">
      <w:pPr>
        <w:pStyle w:val="ConsPlusNormal"/>
        <w:spacing w:before="220"/>
        <w:ind w:firstLine="540"/>
        <w:jc w:val="both"/>
      </w:pPr>
      <w:r>
        <w:t>--------------------------------</w:t>
      </w:r>
    </w:p>
    <w:p w:rsidR="004C508B" w:rsidRDefault="004C508B" w:rsidP="004C508B">
      <w:pPr>
        <w:pStyle w:val="ConsPlusNormal"/>
        <w:spacing w:before="220"/>
        <w:ind w:firstLine="540"/>
        <w:jc w:val="both"/>
      </w:pPr>
      <w:r>
        <w:t>&lt;*&gt; Информация не указывается;</w:t>
      </w:r>
    </w:p>
    <w:p w:rsidR="004C508B" w:rsidRDefault="004C508B" w:rsidP="004C508B">
      <w:pPr>
        <w:pStyle w:val="ConsPlusNormal"/>
        <w:jc w:val="both"/>
      </w:pPr>
    </w:p>
    <w:p w:rsidR="004C508B" w:rsidRDefault="004C508B" w:rsidP="004C508B">
      <w:pPr>
        <w:pStyle w:val="ConsPlusNormal"/>
        <w:ind w:firstLine="540"/>
        <w:jc w:val="both"/>
      </w:pPr>
      <w: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4C508B" w:rsidRDefault="004C508B" w:rsidP="004C508B">
      <w:pPr>
        <w:pStyle w:val="ConsPlusNormal"/>
        <w:spacing w:before="220"/>
        <w:ind w:firstLine="540"/>
        <w:jc w:val="both"/>
      </w:pPr>
      <w:r>
        <w:t>планируемых поступлений целевых субсидий - по коду аналитической группы подвида доходов бюджетов;</w:t>
      </w:r>
    </w:p>
    <w:p w:rsidR="004C508B" w:rsidRDefault="004C508B" w:rsidP="004C508B">
      <w:pPr>
        <w:pStyle w:val="ConsPlusNormal"/>
        <w:spacing w:before="220"/>
        <w:ind w:firstLine="540"/>
        <w:jc w:val="both"/>
      </w:pPr>
      <w:r>
        <w:t>планируемых целевых расходов - по коду видов расходов классификации расходов бюджетов;</w:t>
      </w:r>
    </w:p>
    <w:p w:rsidR="004C508B" w:rsidRDefault="004C508B" w:rsidP="004C508B">
      <w:pPr>
        <w:pStyle w:val="ConsPlusNormal"/>
        <w:spacing w:before="220"/>
        <w:ind w:firstLine="540"/>
        <w:jc w:val="both"/>
      </w:pPr>
      <w:r>
        <w:t>поступления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w:t>
      </w:r>
    </w:p>
    <w:p w:rsidR="004C508B" w:rsidRDefault="004C508B" w:rsidP="004C508B">
      <w:pPr>
        <w:pStyle w:val="ConsPlusNormal"/>
        <w:spacing w:before="220"/>
        <w:ind w:firstLine="540"/>
        <w:jc w:val="both"/>
      </w:pPr>
      <w: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4C508B" w:rsidRDefault="004C508B" w:rsidP="004C508B">
      <w:pPr>
        <w:pStyle w:val="ConsPlusNormal"/>
        <w:spacing w:before="220"/>
        <w:ind w:firstLine="540"/>
        <w:jc w:val="both"/>
      </w:pPr>
      <w:r>
        <w:t>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графе 7;</w:t>
      </w:r>
    </w:p>
    <w:p w:rsidR="004C508B" w:rsidRDefault="004C508B" w:rsidP="004C508B">
      <w:pPr>
        <w:pStyle w:val="ConsPlusNormal"/>
        <w:spacing w:before="220"/>
        <w:ind w:firstLine="540"/>
        <w:jc w:val="both"/>
      </w:pPr>
      <w:r>
        <w:t>в графе 10 - суммы планируемых в текущем финансовом году поступлений целевых субсидий по соответствующему коду субсидии, указанному в графе 2 и коду аналитической группы подвида доходов бюджетов, указанному в графе 7;</w:t>
      </w:r>
    </w:p>
    <w:p w:rsidR="004C508B" w:rsidRDefault="004C508B" w:rsidP="004C508B">
      <w:pPr>
        <w:pStyle w:val="ConsPlusNormal"/>
        <w:spacing w:before="220"/>
        <w:ind w:firstLine="540"/>
        <w:jc w:val="both"/>
      </w:pPr>
      <w: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4C508B" w:rsidRDefault="004C508B" w:rsidP="004C508B">
      <w:pPr>
        <w:pStyle w:val="ConsPlusNormal"/>
        <w:spacing w:before="220"/>
        <w:ind w:firstLine="540"/>
        <w:jc w:val="both"/>
      </w:pPr>
      <w: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 указанному в графе 7.</w:t>
      </w:r>
    </w:p>
    <w:p w:rsidR="004C508B" w:rsidRDefault="004C508B" w:rsidP="004C508B">
      <w:pPr>
        <w:pStyle w:val="ConsPlusNormal"/>
        <w:spacing w:before="220"/>
        <w:ind w:firstLine="540"/>
        <w:jc w:val="both"/>
      </w:pPr>
      <w:r>
        <w:t xml:space="preserve">В случае если </w:t>
      </w:r>
      <w:r w:rsidRPr="0009515E">
        <w:t>учреждению (подразделению)</w:t>
      </w:r>
      <w:r>
        <w:t xml:space="preserve">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4C508B" w:rsidRPr="0009515E" w:rsidRDefault="004C508B" w:rsidP="004C508B">
      <w:pPr>
        <w:pStyle w:val="ConsPlusNormal"/>
        <w:spacing w:before="220"/>
        <w:ind w:firstLine="540"/>
        <w:jc w:val="both"/>
      </w:pPr>
      <w:r w:rsidRPr="0009515E">
        <w:t>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группы вида источников финансирования дефицитов бюджетов.</w:t>
      </w:r>
    </w:p>
    <w:p w:rsidR="004C508B" w:rsidRPr="0009515E" w:rsidRDefault="004C508B"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4C508B" w:rsidRDefault="004C508B" w:rsidP="004C508B">
      <w:pPr>
        <w:pStyle w:val="ConsPlusNormal"/>
        <w:jc w:val="right"/>
        <w:outlineLvl w:val="1"/>
      </w:pPr>
      <w:r>
        <w:t>Приложение N 1</w:t>
      </w:r>
    </w:p>
    <w:p w:rsidR="004C508B" w:rsidRDefault="004C508B" w:rsidP="004C508B">
      <w:pPr>
        <w:pStyle w:val="ConsPlusNormal"/>
        <w:jc w:val="right"/>
      </w:pPr>
      <w:r>
        <w:t>к Порядку санкционирования</w:t>
      </w:r>
    </w:p>
    <w:p w:rsidR="004C508B" w:rsidRDefault="004C508B" w:rsidP="004C508B">
      <w:pPr>
        <w:pStyle w:val="ConsPlusNormal"/>
        <w:jc w:val="right"/>
      </w:pPr>
      <w:r>
        <w:t xml:space="preserve">расходов </w:t>
      </w:r>
      <w:r w:rsidR="00CE122B">
        <w:t>муниципальных</w:t>
      </w:r>
    </w:p>
    <w:p w:rsidR="004C508B" w:rsidRDefault="004C508B" w:rsidP="004C508B">
      <w:pPr>
        <w:pStyle w:val="ConsPlusNormal"/>
        <w:jc w:val="right"/>
      </w:pPr>
      <w:r>
        <w:t>бюджетных учреждений и</w:t>
      </w:r>
    </w:p>
    <w:p w:rsidR="004C508B" w:rsidRDefault="00F73C28" w:rsidP="004C508B">
      <w:pPr>
        <w:pStyle w:val="ConsPlusNormal"/>
        <w:jc w:val="right"/>
      </w:pPr>
      <w:r>
        <w:t>муниципальных</w:t>
      </w:r>
      <w:r w:rsidR="004C508B">
        <w:t xml:space="preserve"> автономных</w:t>
      </w:r>
    </w:p>
    <w:p w:rsidR="004C508B" w:rsidRDefault="004C508B" w:rsidP="004C508B">
      <w:pPr>
        <w:pStyle w:val="ConsPlusNormal"/>
        <w:jc w:val="right"/>
      </w:pPr>
      <w:r>
        <w:t>учреждений, лицевые счета</w:t>
      </w:r>
    </w:p>
    <w:p w:rsidR="004C508B" w:rsidRDefault="004C508B" w:rsidP="004C508B">
      <w:pPr>
        <w:pStyle w:val="ConsPlusNormal"/>
        <w:jc w:val="right"/>
      </w:pPr>
      <w:r>
        <w:t>которым открыты в Управлении</w:t>
      </w:r>
    </w:p>
    <w:p w:rsidR="004C508B" w:rsidRDefault="004C508B" w:rsidP="004C508B">
      <w:pPr>
        <w:pStyle w:val="ConsPlusNormal"/>
        <w:jc w:val="right"/>
      </w:pPr>
      <w:r>
        <w:t>Федерального казначейства</w:t>
      </w:r>
    </w:p>
    <w:p w:rsidR="004C508B" w:rsidRDefault="004C508B" w:rsidP="004C508B">
      <w:pPr>
        <w:pStyle w:val="ConsPlusNormal"/>
        <w:jc w:val="right"/>
      </w:pPr>
      <w:r>
        <w:t>по Республике Бурятия,</w:t>
      </w:r>
    </w:p>
    <w:p w:rsidR="004C508B" w:rsidRDefault="004C508B" w:rsidP="004C508B">
      <w:pPr>
        <w:pStyle w:val="ConsPlusNormal"/>
        <w:jc w:val="right"/>
      </w:pPr>
      <w:r>
        <w:t>источником финансового</w:t>
      </w:r>
    </w:p>
    <w:p w:rsidR="004C508B" w:rsidRDefault="004C508B" w:rsidP="004C508B">
      <w:pPr>
        <w:pStyle w:val="ConsPlusNormal"/>
        <w:jc w:val="right"/>
      </w:pPr>
      <w:r>
        <w:t>обеспечения которых являются</w:t>
      </w:r>
    </w:p>
    <w:p w:rsidR="004C508B" w:rsidRDefault="004C508B" w:rsidP="004C508B">
      <w:pPr>
        <w:pStyle w:val="ConsPlusNormal"/>
        <w:jc w:val="right"/>
      </w:pPr>
      <w:r>
        <w:t>субсидии, полученные</w:t>
      </w:r>
    </w:p>
    <w:p w:rsidR="004C508B" w:rsidRDefault="004C508B" w:rsidP="004C508B">
      <w:pPr>
        <w:pStyle w:val="ConsPlusNormal"/>
        <w:jc w:val="right"/>
      </w:pPr>
      <w:r>
        <w:t>в соответствии с абзацем</w:t>
      </w:r>
    </w:p>
    <w:p w:rsidR="004C508B" w:rsidRDefault="004C508B" w:rsidP="004C508B">
      <w:pPr>
        <w:pStyle w:val="ConsPlusNormal"/>
        <w:jc w:val="right"/>
      </w:pPr>
      <w:r>
        <w:t>вторым пункта 1 статьи 78.1 и</w:t>
      </w:r>
    </w:p>
    <w:p w:rsidR="004C508B" w:rsidRDefault="004C508B" w:rsidP="004C508B">
      <w:pPr>
        <w:pStyle w:val="ConsPlusNormal"/>
        <w:jc w:val="right"/>
      </w:pPr>
      <w:r>
        <w:t>статьей 78.2 Бюджетного кодекса</w:t>
      </w:r>
    </w:p>
    <w:p w:rsidR="004C508B" w:rsidRDefault="004C508B" w:rsidP="004C508B">
      <w:pPr>
        <w:pStyle w:val="ConsPlusNormal"/>
        <w:jc w:val="right"/>
      </w:pPr>
      <w:r>
        <w:t>Российской Федерации</w:t>
      </w:r>
    </w:p>
    <w:p w:rsidR="004C508B" w:rsidRDefault="004C508B" w:rsidP="004C508B">
      <w:pPr>
        <w:pStyle w:val="ConsPlusNormal"/>
        <w:jc w:val="both"/>
      </w:pPr>
    </w:p>
    <w:p w:rsidR="004C508B" w:rsidRDefault="004C508B" w:rsidP="004C508B">
      <w:pPr>
        <w:pStyle w:val="ConsPlusNonformat"/>
        <w:jc w:val="both"/>
      </w:pPr>
      <w:bookmarkStart w:id="8" w:name="P192"/>
      <w:bookmarkEnd w:id="8"/>
      <w:r>
        <w:t xml:space="preserve">                              Перечень N ____</w:t>
      </w:r>
    </w:p>
    <w:p w:rsidR="004C508B" w:rsidRDefault="004C508B" w:rsidP="004C508B">
      <w:pPr>
        <w:pStyle w:val="ConsPlusNonformat"/>
        <w:jc w:val="both"/>
      </w:pPr>
      <w:r>
        <w:t xml:space="preserve">                        целевых субсидий на 20__ г.</w:t>
      </w:r>
    </w:p>
    <w:p w:rsidR="004C508B" w:rsidRDefault="004C508B" w:rsidP="004C508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268"/>
        <w:gridCol w:w="1871"/>
        <w:gridCol w:w="1077"/>
      </w:tblGrid>
      <w:tr w:rsidR="004C508B" w:rsidTr="004D2754">
        <w:tc>
          <w:tcPr>
            <w:tcW w:w="3855" w:type="dxa"/>
            <w:tcBorders>
              <w:top w:val="nil"/>
              <w:left w:val="nil"/>
              <w:bottom w:val="nil"/>
              <w:right w:val="nil"/>
            </w:tcBorders>
          </w:tcPr>
          <w:p w:rsidR="004C508B" w:rsidRDefault="004C508B" w:rsidP="004D2754">
            <w:pPr>
              <w:pStyle w:val="ConsPlusNormal"/>
            </w:pPr>
          </w:p>
        </w:tc>
        <w:tc>
          <w:tcPr>
            <w:tcW w:w="2268" w:type="dxa"/>
            <w:tcBorders>
              <w:top w:val="nil"/>
              <w:left w:val="nil"/>
              <w:bottom w:val="nil"/>
              <w:right w:val="nil"/>
            </w:tcBorders>
          </w:tcPr>
          <w:p w:rsidR="004C508B" w:rsidRDefault="004C508B" w:rsidP="004D2754">
            <w:pPr>
              <w:pStyle w:val="ConsPlusNormal"/>
            </w:pPr>
          </w:p>
        </w:tc>
        <w:tc>
          <w:tcPr>
            <w:tcW w:w="1871" w:type="dxa"/>
            <w:tcBorders>
              <w:top w:val="nil"/>
              <w:left w:val="nil"/>
              <w:bottom w:val="nil"/>
              <w:right w:val="single" w:sz="4" w:space="0" w:color="auto"/>
            </w:tcBorders>
          </w:tcPr>
          <w:p w:rsidR="004C508B" w:rsidRDefault="004C508B" w:rsidP="004D2754">
            <w:pPr>
              <w:pStyle w:val="ConsPlusNormal"/>
            </w:pPr>
          </w:p>
        </w:tc>
        <w:tc>
          <w:tcPr>
            <w:tcW w:w="1077" w:type="dxa"/>
            <w:tcBorders>
              <w:top w:val="single" w:sz="4" w:space="0" w:color="auto"/>
              <w:left w:val="single" w:sz="4" w:space="0" w:color="auto"/>
              <w:bottom w:val="single" w:sz="4" w:space="0" w:color="auto"/>
            </w:tcBorders>
          </w:tcPr>
          <w:p w:rsidR="004C508B" w:rsidRDefault="004C508B" w:rsidP="004D2754">
            <w:pPr>
              <w:pStyle w:val="ConsPlusNormal"/>
              <w:jc w:val="center"/>
            </w:pPr>
            <w:r>
              <w:t>Коды</w:t>
            </w:r>
          </w:p>
        </w:tc>
      </w:tr>
      <w:tr w:rsidR="004C508B" w:rsidTr="004D2754">
        <w:tc>
          <w:tcPr>
            <w:tcW w:w="3855" w:type="dxa"/>
            <w:tcBorders>
              <w:top w:val="nil"/>
              <w:left w:val="nil"/>
              <w:bottom w:val="nil"/>
              <w:right w:val="nil"/>
            </w:tcBorders>
          </w:tcPr>
          <w:p w:rsidR="004C508B" w:rsidRDefault="004C508B" w:rsidP="004D2754">
            <w:pPr>
              <w:pStyle w:val="ConsPlusNormal"/>
            </w:pPr>
          </w:p>
        </w:tc>
        <w:tc>
          <w:tcPr>
            <w:tcW w:w="2268" w:type="dxa"/>
            <w:tcBorders>
              <w:top w:val="nil"/>
              <w:left w:val="nil"/>
              <w:bottom w:val="nil"/>
              <w:right w:val="nil"/>
            </w:tcBorders>
          </w:tcPr>
          <w:p w:rsidR="004C508B" w:rsidRDefault="004C508B" w:rsidP="004D2754">
            <w:pPr>
              <w:pStyle w:val="ConsPlusNormal"/>
            </w:pPr>
          </w:p>
        </w:tc>
        <w:tc>
          <w:tcPr>
            <w:tcW w:w="1871" w:type="dxa"/>
            <w:tcBorders>
              <w:top w:val="nil"/>
              <w:left w:val="nil"/>
              <w:bottom w:val="nil"/>
              <w:right w:val="single" w:sz="4" w:space="0" w:color="auto"/>
            </w:tcBorders>
          </w:tcPr>
          <w:p w:rsidR="004C508B" w:rsidRDefault="004C508B" w:rsidP="004D2754">
            <w:pPr>
              <w:pStyle w:val="ConsPlusNormal"/>
              <w:jc w:val="right"/>
            </w:pPr>
            <w:r>
              <w:t xml:space="preserve">Форма по </w:t>
            </w:r>
            <w:hyperlink r:id="rId11" w:history="1">
              <w:r>
                <w:rPr>
                  <w:color w:val="0000FF"/>
                </w:rPr>
                <w:t>ОКУД</w:t>
              </w:r>
            </w:hyperlink>
          </w:p>
        </w:tc>
        <w:tc>
          <w:tcPr>
            <w:tcW w:w="1077" w:type="dxa"/>
            <w:tcBorders>
              <w:top w:val="single" w:sz="4" w:space="0" w:color="auto"/>
              <w:left w:val="single" w:sz="4" w:space="0" w:color="auto"/>
              <w:bottom w:val="single" w:sz="4" w:space="0" w:color="auto"/>
            </w:tcBorders>
          </w:tcPr>
          <w:p w:rsidR="004C508B" w:rsidRDefault="004C508B" w:rsidP="004D2754">
            <w:pPr>
              <w:pStyle w:val="ConsPlusNormal"/>
              <w:jc w:val="center"/>
            </w:pPr>
            <w:r>
              <w:t>0501015</w:t>
            </w:r>
          </w:p>
        </w:tc>
      </w:tr>
      <w:tr w:rsidR="004C508B" w:rsidTr="004D2754">
        <w:tc>
          <w:tcPr>
            <w:tcW w:w="3855" w:type="dxa"/>
            <w:tcBorders>
              <w:top w:val="nil"/>
              <w:left w:val="nil"/>
              <w:bottom w:val="nil"/>
              <w:right w:val="nil"/>
            </w:tcBorders>
          </w:tcPr>
          <w:p w:rsidR="004C508B" w:rsidRDefault="004C508B" w:rsidP="004D2754">
            <w:pPr>
              <w:pStyle w:val="ConsPlusNormal"/>
            </w:pPr>
          </w:p>
        </w:tc>
        <w:tc>
          <w:tcPr>
            <w:tcW w:w="2268" w:type="dxa"/>
            <w:tcBorders>
              <w:top w:val="nil"/>
              <w:left w:val="nil"/>
              <w:bottom w:val="nil"/>
              <w:right w:val="nil"/>
            </w:tcBorders>
          </w:tcPr>
          <w:p w:rsidR="004C508B" w:rsidRDefault="004C508B" w:rsidP="004D2754">
            <w:pPr>
              <w:pStyle w:val="ConsPlusNormal"/>
              <w:jc w:val="center"/>
            </w:pPr>
            <w:r>
              <w:t>от "__" ____ 20__ г.</w:t>
            </w:r>
          </w:p>
        </w:tc>
        <w:tc>
          <w:tcPr>
            <w:tcW w:w="1871" w:type="dxa"/>
            <w:tcBorders>
              <w:top w:val="nil"/>
              <w:left w:val="nil"/>
              <w:bottom w:val="nil"/>
              <w:right w:val="single" w:sz="4" w:space="0" w:color="auto"/>
            </w:tcBorders>
          </w:tcPr>
          <w:p w:rsidR="004C508B" w:rsidRDefault="004C508B" w:rsidP="004D2754">
            <w:pPr>
              <w:pStyle w:val="ConsPlusNormal"/>
              <w:jc w:val="right"/>
            </w:pPr>
            <w:r>
              <w:t>Дата</w:t>
            </w:r>
          </w:p>
        </w:tc>
        <w:tc>
          <w:tcPr>
            <w:tcW w:w="1077"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855" w:type="dxa"/>
            <w:tcBorders>
              <w:top w:val="nil"/>
              <w:left w:val="nil"/>
              <w:bottom w:val="nil"/>
              <w:right w:val="nil"/>
            </w:tcBorders>
          </w:tcPr>
          <w:p w:rsidR="004C508B" w:rsidRDefault="004C508B" w:rsidP="004D2754">
            <w:pPr>
              <w:pStyle w:val="ConsPlusNormal"/>
            </w:pPr>
          </w:p>
        </w:tc>
        <w:tc>
          <w:tcPr>
            <w:tcW w:w="2268" w:type="dxa"/>
            <w:tcBorders>
              <w:top w:val="nil"/>
              <w:left w:val="nil"/>
              <w:bottom w:val="nil"/>
              <w:right w:val="nil"/>
            </w:tcBorders>
          </w:tcPr>
          <w:p w:rsidR="004C508B" w:rsidRDefault="004C508B" w:rsidP="004D2754">
            <w:pPr>
              <w:pStyle w:val="ConsPlusNormal"/>
            </w:pPr>
          </w:p>
        </w:tc>
        <w:tc>
          <w:tcPr>
            <w:tcW w:w="1871" w:type="dxa"/>
            <w:tcBorders>
              <w:top w:val="nil"/>
              <w:left w:val="nil"/>
              <w:bottom w:val="nil"/>
              <w:right w:val="single" w:sz="4" w:space="0" w:color="auto"/>
            </w:tcBorders>
          </w:tcPr>
          <w:p w:rsidR="004C508B" w:rsidRDefault="004C508B" w:rsidP="004D2754">
            <w:pPr>
              <w:pStyle w:val="ConsPlusNormal"/>
              <w:jc w:val="right"/>
            </w:pPr>
            <w:r>
              <w:t>по ОКПО</w:t>
            </w:r>
          </w:p>
        </w:tc>
        <w:tc>
          <w:tcPr>
            <w:tcW w:w="1077"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855" w:type="dxa"/>
            <w:tcBorders>
              <w:top w:val="nil"/>
              <w:left w:val="nil"/>
              <w:bottom w:val="nil"/>
              <w:right w:val="nil"/>
            </w:tcBorders>
          </w:tcPr>
          <w:p w:rsidR="004C508B" w:rsidRDefault="004C508B" w:rsidP="004D2754">
            <w:pPr>
              <w:pStyle w:val="ConsPlusNormal"/>
            </w:pPr>
            <w:r>
              <w:t>Орган, осуществляющий функции и полномочия учредителя</w:t>
            </w:r>
          </w:p>
        </w:tc>
        <w:tc>
          <w:tcPr>
            <w:tcW w:w="2268" w:type="dxa"/>
            <w:tcBorders>
              <w:top w:val="nil"/>
              <w:left w:val="nil"/>
              <w:bottom w:val="single" w:sz="4" w:space="0" w:color="auto"/>
              <w:right w:val="nil"/>
            </w:tcBorders>
          </w:tcPr>
          <w:p w:rsidR="004C508B" w:rsidRDefault="004C508B" w:rsidP="004D2754">
            <w:pPr>
              <w:pStyle w:val="ConsPlusNormal"/>
            </w:pPr>
          </w:p>
        </w:tc>
        <w:tc>
          <w:tcPr>
            <w:tcW w:w="1871" w:type="dxa"/>
            <w:tcBorders>
              <w:top w:val="nil"/>
              <w:left w:val="nil"/>
              <w:bottom w:val="nil"/>
              <w:right w:val="single" w:sz="4" w:space="0" w:color="auto"/>
            </w:tcBorders>
            <w:vAlign w:val="center"/>
          </w:tcPr>
          <w:p w:rsidR="004C508B" w:rsidRDefault="004C508B" w:rsidP="004D2754">
            <w:pPr>
              <w:pStyle w:val="ConsPlusNormal"/>
              <w:jc w:val="right"/>
            </w:pPr>
            <w:r>
              <w:t>Глава по БК</w:t>
            </w:r>
          </w:p>
        </w:tc>
        <w:tc>
          <w:tcPr>
            <w:tcW w:w="1077"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855" w:type="dxa"/>
            <w:tcBorders>
              <w:top w:val="nil"/>
              <w:left w:val="nil"/>
              <w:bottom w:val="nil"/>
              <w:right w:val="nil"/>
            </w:tcBorders>
          </w:tcPr>
          <w:p w:rsidR="004C508B" w:rsidRDefault="004C508B" w:rsidP="004D2754">
            <w:pPr>
              <w:pStyle w:val="ConsPlusNormal"/>
            </w:pPr>
            <w:r>
              <w:t>Наименование органа, осуществляющего ведение лицевых счетов по иным субсидиям</w:t>
            </w:r>
          </w:p>
        </w:tc>
        <w:tc>
          <w:tcPr>
            <w:tcW w:w="2268" w:type="dxa"/>
            <w:tcBorders>
              <w:top w:val="single" w:sz="4" w:space="0" w:color="auto"/>
              <w:left w:val="nil"/>
              <w:bottom w:val="single" w:sz="4" w:space="0" w:color="auto"/>
              <w:right w:val="nil"/>
            </w:tcBorders>
          </w:tcPr>
          <w:p w:rsidR="004C508B" w:rsidRDefault="004C508B" w:rsidP="004D2754">
            <w:pPr>
              <w:pStyle w:val="ConsPlusNormal"/>
            </w:pPr>
          </w:p>
        </w:tc>
        <w:tc>
          <w:tcPr>
            <w:tcW w:w="1871" w:type="dxa"/>
            <w:tcBorders>
              <w:top w:val="nil"/>
              <w:left w:val="nil"/>
              <w:bottom w:val="nil"/>
              <w:right w:val="single" w:sz="4" w:space="0" w:color="auto"/>
            </w:tcBorders>
            <w:vAlign w:val="bottom"/>
          </w:tcPr>
          <w:p w:rsidR="004C508B" w:rsidRDefault="004C508B" w:rsidP="004D2754">
            <w:pPr>
              <w:pStyle w:val="ConsPlusNormal"/>
              <w:jc w:val="right"/>
            </w:pPr>
            <w:r>
              <w:t>Глава по БК</w:t>
            </w:r>
          </w:p>
        </w:tc>
        <w:tc>
          <w:tcPr>
            <w:tcW w:w="1077"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855" w:type="dxa"/>
            <w:tcBorders>
              <w:top w:val="nil"/>
              <w:left w:val="nil"/>
              <w:bottom w:val="nil"/>
              <w:right w:val="nil"/>
            </w:tcBorders>
          </w:tcPr>
          <w:p w:rsidR="004C508B" w:rsidRDefault="004C508B" w:rsidP="004D2754">
            <w:pPr>
              <w:pStyle w:val="ConsPlusNormal"/>
            </w:pPr>
            <w:r>
              <w:t>Наименование бюджета</w:t>
            </w:r>
          </w:p>
        </w:tc>
        <w:tc>
          <w:tcPr>
            <w:tcW w:w="2268" w:type="dxa"/>
            <w:tcBorders>
              <w:top w:val="single" w:sz="4" w:space="0" w:color="auto"/>
              <w:left w:val="nil"/>
              <w:bottom w:val="single" w:sz="4" w:space="0" w:color="auto"/>
              <w:right w:val="nil"/>
            </w:tcBorders>
          </w:tcPr>
          <w:p w:rsidR="004C508B" w:rsidRDefault="004C508B" w:rsidP="004D2754">
            <w:pPr>
              <w:pStyle w:val="ConsPlusNormal"/>
            </w:pPr>
          </w:p>
        </w:tc>
        <w:tc>
          <w:tcPr>
            <w:tcW w:w="1871" w:type="dxa"/>
            <w:tcBorders>
              <w:top w:val="nil"/>
              <w:left w:val="nil"/>
              <w:bottom w:val="nil"/>
              <w:right w:val="single" w:sz="4" w:space="0" w:color="auto"/>
            </w:tcBorders>
          </w:tcPr>
          <w:p w:rsidR="004C508B" w:rsidRDefault="004C508B" w:rsidP="004D2754">
            <w:pPr>
              <w:pStyle w:val="ConsPlusNormal"/>
              <w:jc w:val="right"/>
            </w:pPr>
            <w:r>
              <w:t xml:space="preserve">по </w:t>
            </w:r>
            <w:hyperlink r:id="rId12" w:history="1">
              <w:r>
                <w:rPr>
                  <w:color w:val="0000FF"/>
                </w:rPr>
                <w:t>ОКАТО</w:t>
              </w:r>
            </w:hyperlink>
          </w:p>
        </w:tc>
        <w:tc>
          <w:tcPr>
            <w:tcW w:w="1077" w:type="dxa"/>
            <w:tcBorders>
              <w:top w:val="single" w:sz="4" w:space="0" w:color="auto"/>
              <w:left w:val="single" w:sz="4" w:space="0" w:color="auto"/>
              <w:bottom w:val="single" w:sz="4" w:space="0" w:color="auto"/>
            </w:tcBorders>
          </w:tcPr>
          <w:p w:rsidR="004C508B" w:rsidRDefault="004C508B" w:rsidP="004D2754">
            <w:pPr>
              <w:pStyle w:val="ConsPlusNormal"/>
            </w:pPr>
          </w:p>
        </w:tc>
      </w:tr>
    </w:tbl>
    <w:p w:rsidR="004C508B" w:rsidRDefault="004C508B" w:rsidP="004C5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077"/>
        <w:gridCol w:w="2154"/>
        <w:gridCol w:w="1928"/>
        <w:gridCol w:w="964"/>
        <w:gridCol w:w="1020"/>
      </w:tblGrid>
      <w:tr w:rsidR="004C508B" w:rsidTr="004D2754">
        <w:tc>
          <w:tcPr>
            <w:tcW w:w="3005" w:type="dxa"/>
            <w:gridSpan w:val="2"/>
          </w:tcPr>
          <w:p w:rsidR="004C508B" w:rsidRDefault="004C508B" w:rsidP="004D2754">
            <w:pPr>
              <w:pStyle w:val="ConsPlusNormal"/>
              <w:jc w:val="center"/>
            </w:pPr>
            <w:r>
              <w:t>Целевая субсидия (бюджетная инвестиция)</w:t>
            </w:r>
          </w:p>
        </w:tc>
        <w:tc>
          <w:tcPr>
            <w:tcW w:w="2154" w:type="dxa"/>
            <w:vMerge w:val="restart"/>
          </w:tcPr>
          <w:p w:rsidR="004C508B" w:rsidRDefault="004C508B" w:rsidP="004D2754">
            <w:pPr>
              <w:pStyle w:val="ConsPlusNormal"/>
              <w:jc w:val="center"/>
            </w:pPr>
            <w:r>
              <w:t>Код по классификации расходов бюджета</w:t>
            </w:r>
          </w:p>
        </w:tc>
        <w:tc>
          <w:tcPr>
            <w:tcW w:w="3912" w:type="dxa"/>
            <w:gridSpan w:val="3"/>
          </w:tcPr>
          <w:p w:rsidR="004C508B" w:rsidRDefault="004C508B" w:rsidP="004D2754">
            <w:pPr>
              <w:pStyle w:val="ConsPlusNormal"/>
              <w:jc w:val="center"/>
            </w:pPr>
            <w:r>
              <w:t>Нормативный правовой акт</w:t>
            </w:r>
          </w:p>
        </w:tc>
      </w:tr>
      <w:tr w:rsidR="004C508B" w:rsidTr="004D2754">
        <w:tc>
          <w:tcPr>
            <w:tcW w:w="1928" w:type="dxa"/>
          </w:tcPr>
          <w:p w:rsidR="004C508B" w:rsidRDefault="004C508B" w:rsidP="004D2754">
            <w:pPr>
              <w:pStyle w:val="ConsPlusNormal"/>
              <w:jc w:val="center"/>
            </w:pPr>
            <w:r>
              <w:t>наименование</w:t>
            </w:r>
          </w:p>
        </w:tc>
        <w:tc>
          <w:tcPr>
            <w:tcW w:w="1077" w:type="dxa"/>
          </w:tcPr>
          <w:p w:rsidR="004C508B" w:rsidRDefault="004C508B" w:rsidP="004D2754">
            <w:pPr>
              <w:pStyle w:val="ConsPlusNormal"/>
              <w:jc w:val="center"/>
            </w:pPr>
            <w:r>
              <w:t>код</w:t>
            </w:r>
          </w:p>
        </w:tc>
        <w:tc>
          <w:tcPr>
            <w:tcW w:w="2154" w:type="dxa"/>
            <w:vMerge/>
          </w:tcPr>
          <w:p w:rsidR="004C508B" w:rsidRDefault="004C508B" w:rsidP="004D2754">
            <w:pPr>
              <w:spacing w:after="1" w:line="240" w:lineRule="atLeast"/>
            </w:pPr>
          </w:p>
        </w:tc>
        <w:tc>
          <w:tcPr>
            <w:tcW w:w="1928" w:type="dxa"/>
          </w:tcPr>
          <w:p w:rsidR="004C508B" w:rsidRDefault="004C508B" w:rsidP="004D2754">
            <w:pPr>
              <w:pStyle w:val="ConsPlusNormal"/>
              <w:jc w:val="center"/>
            </w:pPr>
            <w:r>
              <w:t>наименование</w:t>
            </w:r>
          </w:p>
        </w:tc>
        <w:tc>
          <w:tcPr>
            <w:tcW w:w="964" w:type="dxa"/>
          </w:tcPr>
          <w:p w:rsidR="004C508B" w:rsidRDefault="004C508B" w:rsidP="004D2754">
            <w:pPr>
              <w:pStyle w:val="ConsPlusNormal"/>
              <w:jc w:val="center"/>
            </w:pPr>
            <w:r>
              <w:t>дата</w:t>
            </w:r>
          </w:p>
        </w:tc>
        <w:tc>
          <w:tcPr>
            <w:tcW w:w="1020" w:type="dxa"/>
          </w:tcPr>
          <w:p w:rsidR="004C508B" w:rsidRDefault="004C508B" w:rsidP="004D2754">
            <w:pPr>
              <w:pStyle w:val="ConsPlusNormal"/>
              <w:jc w:val="center"/>
            </w:pPr>
            <w:r>
              <w:t>номер</w:t>
            </w:r>
          </w:p>
        </w:tc>
      </w:tr>
      <w:tr w:rsidR="004C508B" w:rsidTr="004D2754">
        <w:tc>
          <w:tcPr>
            <w:tcW w:w="1928" w:type="dxa"/>
          </w:tcPr>
          <w:p w:rsidR="004C508B" w:rsidRDefault="004C508B" w:rsidP="004D2754">
            <w:pPr>
              <w:pStyle w:val="ConsPlusNormal"/>
              <w:jc w:val="center"/>
            </w:pPr>
            <w:r>
              <w:t>1</w:t>
            </w:r>
          </w:p>
        </w:tc>
        <w:tc>
          <w:tcPr>
            <w:tcW w:w="1077" w:type="dxa"/>
          </w:tcPr>
          <w:p w:rsidR="004C508B" w:rsidRDefault="004C508B" w:rsidP="004D2754">
            <w:pPr>
              <w:pStyle w:val="ConsPlusNormal"/>
              <w:jc w:val="center"/>
            </w:pPr>
            <w:r>
              <w:t>2</w:t>
            </w:r>
          </w:p>
        </w:tc>
        <w:tc>
          <w:tcPr>
            <w:tcW w:w="2154" w:type="dxa"/>
          </w:tcPr>
          <w:p w:rsidR="004C508B" w:rsidRDefault="004C508B" w:rsidP="004D2754">
            <w:pPr>
              <w:pStyle w:val="ConsPlusNormal"/>
              <w:jc w:val="center"/>
            </w:pPr>
            <w:r>
              <w:t>3</w:t>
            </w:r>
          </w:p>
        </w:tc>
        <w:tc>
          <w:tcPr>
            <w:tcW w:w="1928" w:type="dxa"/>
          </w:tcPr>
          <w:p w:rsidR="004C508B" w:rsidRDefault="004C508B" w:rsidP="004D2754">
            <w:pPr>
              <w:pStyle w:val="ConsPlusNormal"/>
              <w:jc w:val="center"/>
            </w:pPr>
            <w:r>
              <w:t>4</w:t>
            </w:r>
          </w:p>
        </w:tc>
        <w:tc>
          <w:tcPr>
            <w:tcW w:w="964" w:type="dxa"/>
          </w:tcPr>
          <w:p w:rsidR="004C508B" w:rsidRDefault="004C508B" w:rsidP="004D2754">
            <w:pPr>
              <w:pStyle w:val="ConsPlusNormal"/>
              <w:jc w:val="center"/>
            </w:pPr>
            <w:r>
              <w:t>5</w:t>
            </w:r>
          </w:p>
        </w:tc>
        <w:tc>
          <w:tcPr>
            <w:tcW w:w="1020" w:type="dxa"/>
          </w:tcPr>
          <w:p w:rsidR="004C508B" w:rsidRDefault="004C508B" w:rsidP="004D2754">
            <w:pPr>
              <w:pStyle w:val="ConsPlusNormal"/>
              <w:jc w:val="center"/>
            </w:pPr>
            <w:r>
              <w:t>6</w:t>
            </w:r>
          </w:p>
        </w:tc>
      </w:tr>
      <w:tr w:rsidR="004C508B" w:rsidTr="004D2754">
        <w:tc>
          <w:tcPr>
            <w:tcW w:w="1928" w:type="dxa"/>
          </w:tcPr>
          <w:p w:rsidR="004C508B" w:rsidRDefault="004C508B" w:rsidP="004D2754">
            <w:pPr>
              <w:pStyle w:val="ConsPlusNormal"/>
            </w:pPr>
          </w:p>
        </w:tc>
        <w:tc>
          <w:tcPr>
            <w:tcW w:w="1077" w:type="dxa"/>
          </w:tcPr>
          <w:p w:rsidR="004C508B" w:rsidRDefault="004C508B" w:rsidP="004D2754">
            <w:pPr>
              <w:pStyle w:val="ConsPlusNormal"/>
            </w:pPr>
          </w:p>
        </w:tc>
        <w:tc>
          <w:tcPr>
            <w:tcW w:w="2154" w:type="dxa"/>
          </w:tcPr>
          <w:p w:rsidR="004C508B" w:rsidRDefault="004C508B" w:rsidP="004D2754">
            <w:pPr>
              <w:pStyle w:val="ConsPlusNormal"/>
            </w:pPr>
          </w:p>
        </w:tc>
        <w:tc>
          <w:tcPr>
            <w:tcW w:w="1928" w:type="dxa"/>
          </w:tcPr>
          <w:p w:rsidR="004C508B" w:rsidRDefault="004C508B" w:rsidP="004D2754">
            <w:pPr>
              <w:pStyle w:val="ConsPlusNormal"/>
            </w:pPr>
          </w:p>
        </w:tc>
        <w:tc>
          <w:tcPr>
            <w:tcW w:w="964" w:type="dxa"/>
          </w:tcPr>
          <w:p w:rsidR="004C508B" w:rsidRDefault="004C508B" w:rsidP="004D2754">
            <w:pPr>
              <w:pStyle w:val="ConsPlusNormal"/>
            </w:pPr>
          </w:p>
        </w:tc>
        <w:tc>
          <w:tcPr>
            <w:tcW w:w="1020" w:type="dxa"/>
          </w:tcPr>
          <w:p w:rsidR="004C508B" w:rsidRDefault="004C508B" w:rsidP="004D2754">
            <w:pPr>
              <w:pStyle w:val="ConsPlusNormal"/>
            </w:pPr>
          </w:p>
        </w:tc>
      </w:tr>
      <w:tr w:rsidR="004C508B" w:rsidTr="004D2754">
        <w:tc>
          <w:tcPr>
            <w:tcW w:w="1928" w:type="dxa"/>
          </w:tcPr>
          <w:p w:rsidR="004C508B" w:rsidRDefault="004C508B" w:rsidP="004D2754">
            <w:pPr>
              <w:pStyle w:val="ConsPlusNormal"/>
            </w:pPr>
          </w:p>
        </w:tc>
        <w:tc>
          <w:tcPr>
            <w:tcW w:w="1077" w:type="dxa"/>
          </w:tcPr>
          <w:p w:rsidR="004C508B" w:rsidRDefault="004C508B" w:rsidP="004D2754">
            <w:pPr>
              <w:pStyle w:val="ConsPlusNormal"/>
            </w:pPr>
          </w:p>
        </w:tc>
        <w:tc>
          <w:tcPr>
            <w:tcW w:w="2154" w:type="dxa"/>
          </w:tcPr>
          <w:p w:rsidR="004C508B" w:rsidRDefault="004C508B" w:rsidP="004D2754">
            <w:pPr>
              <w:pStyle w:val="ConsPlusNormal"/>
            </w:pPr>
          </w:p>
        </w:tc>
        <w:tc>
          <w:tcPr>
            <w:tcW w:w="1928" w:type="dxa"/>
          </w:tcPr>
          <w:p w:rsidR="004C508B" w:rsidRDefault="004C508B" w:rsidP="004D2754">
            <w:pPr>
              <w:pStyle w:val="ConsPlusNormal"/>
            </w:pPr>
          </w:p>
        </w:tc>
        <w:tc>
          <w:tcPr>
            <w:tcW w:w="964" w:type="dxa"/>
          </w:tcPr>
          <w:p w:rsidR="004C508B" w:rsidRDefault="004C508B" w:rsidP="004D2754">
            <w:pPr>
              <w:pStyle w:val="ConsPlusNormal"/>
            </w:pPr>
          </w:p>
        </w:tc>
        <w:tc>
          <w:tcPr>
            <w:tcW w:w="1020" w:type="dxa"/>
          </w:tcPr>
          <w:p w:rsidR="004C508B" w:rsidRDefault="004C508B" w:rsidP="004D2754">
            <w:pPr>
              <w:pStyle w:val="ConsPlusNormal"/>
            </w:pPr>
          </w:p>
        </w:tc>
      </w:tr>
      <w:tr w:rsidR="004C508B" w:rsidTr="004D2754">
        <w:tc>
          <w:tcPr>
            <w:tcW w:w="1928" w:type="dxa"/>
          </w:tcPr>
          <w:p w:rsidR="004C508B" w:rsidRDefault="004C508B" w:rsidP="004D2754">
            <w:pPr>
              <w:pStyle w:val="ConsPlusNormal"/>
            </w:pPr>
          </w:p>
        </w:tc>
        <w:tc>
          <w:tcPr>
            <w:tcW w:w="1077" w:type="dxa"/>
          </w:tcPr>
          <w:p w:rsidR="004C508B" w:rsidRDefault="004C508B" w:rsidP="004D2754">
            <w:pPr>
              <w:pStyle w:val="ConsPlusNormal"/>
            </w:pPr>
          </w:p>
        </w:tc>
        <w:tc>
          <w:tcPr>
            <w:tcW w:w="2154" w:type="dxa"/>
          </w:tcPr>
          <w:p w:rsidR="004C508B" w:rsidRDefault="004C508B" w:rsidP="004D2754">
            <w:pPr>
              <w:pStyle w:val="ConsPlusNormal"/>
            </w:pPr>
          </w:p>
        </w:tc>
        <w:tc>
          <w:tcPr>
            <w:tcW w:w="1928" w:type="dxa"/>
          </w:tcPr>
          <w:p w:rsidR="004C508B" w:rsidRDefault="004C508B" w:rsidP="004D2754">
            <w:pPr>
              <w:pStyle w:val="ConsPlusNormal"/>
            </w:pPr>
          </w:p>
        </w:tc>
        <w:tc>
          <w:tcPr>
            <w:tcW w:w="964" w:type="dxa"/>
          </w:tcPr>
          <w:p w:rsidR="004C508B" w:rsidRDefault="004C508B" w:rsidP="004D2754">
            <w:pPr>
              <w:pStyle w:val="ConsPlusNormal"/>
            </w:pPr>
          </w:p>
        </w:tc>
        <w:tc>
          <w:tcPr>
            <w:tcW w:w="1020" w:type="dxa"/>
          </w:tcPr>
          <w:p w:rsidR="004C508B" w:rsidRDefault="004C508B" w:rsidP="004D2754">
            <w:pPr>
              <w:pStyle w:val="ConsPlusNormal"/>
            </w:pPr>
          </w:p>
        </w:tc>
      </w:tr>
      <w:tr w:rsidR="004C508B" w:rsidTr="004D2754">
        <w:tc>
          <w:tcPr>
            <w:tcW w:w="1928" w:type="dxa"/>
          </w:tcPr>
          <w:p w:rsidR="004C508B" w:rsidRDefault="004C508B" w:rsidP="004D2754">
            <w:pPr>
              <w:pStyle w:val="ConsPlusNormal"/>
            </w:pPr>
          </w:p>
        </w:tc>
        <w:tc>
          <w:tcPr>
            <w:tcW w:w="1077" w:type="dxa"/>
          </w:tcPr>
          <w:p w:rsidR="004C508B" w:rsidRDefault="004C508B" w:rsidP="004D2754">
            <w:pPr>
              <w:pStyle w:val="ConsPlusNormal"/>
            </w:pPr>
          </w:p>
        </w:tc>
        <w:tc>
          <w:tcPr>
            <w:tcW w:w="2154" w:type="dxa"/>
          </w:tcPr>
          <w:p w:rsidR="004C508B" w:rsidRDefault="004C508B" w:rsidP="004D2754">
            <w:pPr>
              <w:pStyle w:val="ConsPlusNormal"/>
            </w:pPr>
          </w:p>
        </w:tc>
        <w:tc>
          <w:tcPr>
            <w:tcW w:w="1928" w:type="dxa"/>
          </w:tcPr>
          <w:p w:rsidR="004C508B" w:rsidRDefault="004C508B" w:rsidP="004D2754">
            <w:pPr>
              <w:pStyle w:val="ConsPlusNormal"/>
            </w:pPr>
          </w:p>
        </w:tc>
        <w:tc>
          <w:tcPr>
            <w:tcW w:w="964" w:type="dxa"/>
          </w:tcPr>
          <w:p w:rsidR="004C508B" w:rsidRDefault="004C508B" w:rsidP="004D2754">
            <w:pPr>
              <w:pStyle w:val="ConsPlusNormal"/>
            </w:pPr>
          </w:p>
        </w:tc>
        <w:tc>
          <w:tcPr>
            <w:tcW w:w="1020" w:type="dxa"/>
          </w:tcPr>
          <w:p w:rsidR="004C508B" w:rsidRDefault="004C508B" w:rsidP="004D2754">
            <w:pPr>
              <w:pStyle w:val="ConsPlusNormal"/>
            </w:pPr>
          </w:p>
        </w:tc>
      </w:tr>
      <w:tr w:rsidR="004C508B" w:rsidTr="004D2754">
        <w:tc>
          <w:tcPr>
            <w:tcW w:w="1928" w:type="dxa"/>
          </w:tcPr>
          <w:p w:rsidR="004C508B" w:rsidRDefault="004C508B" w:rsidP="004D2754">
            <w:pPr>
              <w:pStyle w:val="ConsPlusNormal"/>
            </w:pPr>
          </w:p>
        </w:tc>
        <w:tc>
          <w:tcPr>
            <w:tcW w:w="1077" w:type="dxa"/>
          </w:tcPr>
          <w:p w:rsidR="004C508B" w:rsidRDefault="004C508B" w:rsidP="004D2754">
            <w:pPr>
              <w:pStyle w:val="ConsPlusNormal"/>
            </w:pPr>
          </w:p>
        </w:tc>
        <w:tc>
          <w:tcPr>
            <w:tcW w:w="2154" w:type="dxa"/>
          </w:tcPr>
          <w:p w:rsidR="004C508B" w:rsidRDefault="004C508B" w:rsidP="004D2754">
            <w:pPr>
              <w:pStyle w:val="ConsPlusNormal"/>
            </w:pPr>
          </w:p>
        </w:tc>
        <w:tc>
          <w:tcPr>
            <w:tcW w:w="1928" w:type="dxa"/>
          </w:tcPr>
          <w:p w:rsidR="004C508B" w:rsidRDefault="004C508B" w:rsidP="004D2754">
            <w:pPr>
              <w:pStyle w:val="ConsPlusNormal"/>
            </w:pPr>
          </w:p>
        </w:tc>
        <w:tc>
          <w:tcPr>
            <w:tcW w:w="964" w:type="dxa"/>
          </w:tcPr>
          <w:p w:rsidR="004C508B" w:rsidRDefault="004C508B" w:rsidP="004D2754">
            <w:pPr>
              <w:pStyle w:val="ConsPlusNormal"/>
            </w:pPr>
          </w:p>
        </w:tc>
        <w:tc>
          <w:tcPr>
            <w:tcW w:w="1020" w:type="dxa"/>
          </w:tcPr>
          <w:p w:rsidR="004C508B" w:rsidRDefault="004C508B" w:rsidP="004D2754">
            <w:pPr>
              <w:pStyle w:val="ConsPlusNormal"/>
            </w:pPr>
          </w:p>
        </w:tc>
      </w:tr>
    </w:tbl>
    <w:p w:rsidR="004C508B" w:rsidRDefault="004C508B" w:rsidP="004C508B">
      <w:pPr>
        <w:pStyle w:val="ConsPlusNormal"/>
        <w:jc w:val="both"/>
      </w:pPr>
    </w:p>
    <w:p w:rsidR="004C508B" w:rsidRDefault="004C508B" w:rsidP="004C508B">
      <w:pPr>
        <w:pStyle w:val="ConsPlusNonformat"/>
        <w:jc w:val="both"/>
      </w:pPr>
      <w:r>
        <w:t>Руководитель            ___________ _______________________</w:t>
      </w:r>
    </w:p>
    <w:p w:rsidR="004C508B" w:rsidRDefault="004C508B" w:rsidP="004C508B">
      <w:pPr>
        <w:pStyle w:val="ConsPlusNonformat"/>
        <w:jc w:val="both"/>
      </w:pPr>
      <w:r>
        <w:lastRenderedPageBreak/>
        <w:t xml:space="preserve">                         (подпись)   (расшифровка подписи)</w:t>
      </w:r>
    </w:p>
    <w:p w:rsidR="004C508B" w:rsidRDefault="004C508B" w:rsidP="004C508B">
      <w:pPr>
        <w:pStyle w:val="ConsPlusNonformat"/>
        <w:jc w:val="both"/>
      </w:pPr>
    </w:p>
    <w:p w:rsidR="004C508B" w:rsidRDefault="004C508B" w:rsidP="004C508B">
      <w:pPr>
        <w:pStyle w:val="ConsPlusNonformat"/>
        <w:jc w:val="both"/>
      </w:pPr>
      <w:r>
        <w:t>Руководитель</w:t>
      </w:r>
    </w:p>
    <w:p w:rsidR="004C508B" w:rsidRDefault="004C508B" w:rsidP="004C508B">
      <w:pPr>
        <w:pStyle w:val="ConsPlusNonformat"/>
        <w:jc w:val="both"/>
      </w:pPr>
      <w:r>
        <w:t>финансово-экономической</w:t>
      </w:r>
    </w:p>
    <w:p w:rsidR="004C508B" w:rsidRDefault="004C508B" w:rsidP="004C508B">
      <w:pPr>
        <w:pStyle w:val="ConsPlusNonformat"/>
        <w:jc w:val="both"/>
      </w:pPr>
      <w:r>
        <w:t>службы                  ___________ _______________________</w:t>
      </w:r>
    </w:p>
    <w:p w:rsidR="004C508B" w:rsidRDefault="004C508B" w:rsidP="004C508B">
      <w:pPr>
        <w:pStyle w:val="ConsPlusNonformat"/>
        <w:jc w:val="both"/>
      </w:pPr>
      <w:r>
        <w:t xml:space="preserve">                         (подпись)   (расшифровка подписи)</w:t>
      </w:r>
    </w:p>
    <w:p w:rsidR="004C508B" w:rsidRDefault="004C508B" w:rsidP="004C508B">
      <w:pPr>
        <w:pStyle w:val="ConsPlusNonformat"/>
        <w:jc w:val="both"/>
      </w:pPr>
    </w:p>
    <w:p w:rsidR="004C508B" w:rsidRDefault="004C508B" w:rsidP="004C508B">
      <w:pPr>
        <w:pStyle w:val="ConsPlusNonformat"/>
        <w:jc w:val="both"/>
      </w:pPr>
      <w:r>
        <w:t>Ответственный</w:t>
      </w:r>
    </w:p>
    <w:p w:rsidR="004C508B" w:rsidRDefault="004C508B" w:rsidP="004C508B">
      <w:pPr>
        <w:pStyle w:val="ConsPlusNonformat"/>
        <w:jc w:val="both"/>
      </w:pPr>
      <w:r>
        <w:t>исполнитель    ___________ ___________ ______________ _____________________</w:t>
      </w:r>
    </w:p>
    <w:p w:rsidR="004C508B" w:rsidRDefault="004C508B" w:rsidP="004C508B">
      <w:pPr>
        <w:pStyle w:val="ConsPlusNonformat"/>
        <w:jc w:val="both"/>
      </w:pPr>
      <w:r>
        <w:t xml:space="preserve">               (должность)  (подпись)   (расшифровка        (телефон)</w:t>
      </w:r>
    </w:p>
    <w:p w:rsidR="004C508B" w:rsidRDefault="004C508B" w:rsidP="004C508B">
      <w:pPr>
        <w:pStyle w:val="ConsPlusNonformat"/>
        <w:jc w:val="both"/>
      </w:pPr>
      <w:r>
        <w:t xml:space="preserve">                                           подписи)</w:t>
      </w:r>
    </w:p>
    <w:p w:rsidR="004C508B" w:rsidRDefault="004C508B" w:rsidP="004C508B">
      <w:pPr>
        <w:pStyle w:val="ConsPlusNonformat"/>
        <w:jc w:val="both"/>
      </w:pPr>
      <w:r>
        <w:t>"__" ________ 20__ г.</w:t>
      </w:r>
    </w:p>
    <w:p w:rsidR="004C508B" w:rsidRDefault="004C508B" w:rsidP="004C508B">
      <w:pPr>
        <w:pStyle w:val="ConsPlusNonformat"/>
        <w:jc w:val="both"/>
      </w:pPr>
    </w:p>
    <w:p w:rsidR="004C508B" w:rsidRDefault="004C508B" w:rsidP="004C508B">
      <w:pPr>
        <w:pStyle w:val="ConsPlusNonformat"/>
        <w:jc w:val="both"/>
      </w:pPr>
      <w:r>
        <w:t>┌─────────────────────────────────────────────────────────────────────────┐</w:t>
      </w:r>
    </w:p>
    <w:p w:rsidR="004C508B" w:rsidRDefault="004C508B" w:rsidP="004C508B">
      <w:pPr>
        <w:pStyle w:val="ConsPlusNonformat"/>
        <w:jc w:val="both"/>
      </w:pPr>
      <w:r>
        <w:t>│         ОТМЕТКА ОРГАНА, ОСУЩЕСТВЛЯЮЩЕГО ВЕДЕНИЕ ЛИЦЕВОГО СЧЕТА,         │</w:t>
      </w:r>
    </w:p>
    <w:p w:rsidR="004C508B" w:rsidRDefault="004C508B" w:rsidP="004C508B">
      <w:pPr>
        <w:pStyle w:val="ConsPlusNonformat"/>
        <w:jc w:val="both"/>
      </w:pPr>
      <w:r>
        <w:t>│                    О ПОЛУЧЕНИИ НАСТОЯЩЕГО ДОКУМЕНТА                     │</w:t>
      </w:r>
    </w:p>
    <w:p w:rsidR="004C508B" w:rsidRDefault="004C508B" w:rsidP="004C508B">
      <w:pPr>
        <w:pStyle w:val="ConsPlusNonformat"/>
        <w:jc w:val="both"/>
      </w:pPr>
      <w:r>
        <w:t>│                                                                         │</w:t>
      </w:r>
    </w:p>
    <w:p w:rsidR="004C508B" w:rsidRDefault="004C508B" w:rsidP="004C508B">
      <w:pPr>
        <w:pStyle w:val="ConsPlusNonformat"/>
        <w:jc w:val="both"/>
      </w:pPr>
      <w:r>
        <w:t>│                                                                         │</w:t>
      </w:r>
    </w:p>
    <w:p w:rsidR="004C508B" w:rsidRDefault="004C508B" w:rsidP="004C508B">
      <w:pPr>
        <w:pStyle w:val="ConsPlusNonformat"/>
        <w:jc w:val="both"/>
      </w:pPr>
      <w:r>
        <w:t>│                                                                         │</w:t>
      </w:r>
    </w:p>
    <w:p w:rsidR="004C508B" w:rsidRDefault="004C508B" w:rsidP="004C508B">
      <w:pPr>
        <w:pStyle w:val="ConsPlusNonformat"/>
        <w:jc w:val="both"/>
      </w:pPr>
      <w:r>
        <w:t>│ Ответственный                                                           │</w:t>
      </w:r>
    </w:p>
    <w:p w:rsidR="004C508B" w:rsidRDefault="004C508B" w:rsidP="004C508B">
      <w:pPr>
        <w:pStyle w:val="ConsPlusNonformat"/>
        <w:jc w:val="both"/>
      </w:pPr>
      <w:r>
        <w:t>│ исполнитель    ___________ ___________ ______________ ________________  │</w:t>
      </w:r>
    </w:p>
    <w:p w:rsidR="004C508B" w:rsidRDefault="004C508B" w:rsidP="004C508B">
      <w:pPr>
        <w:pStyle w:val="ConsPlusNonformat"/>
        <w:jc w:val="both"/>
      </w:pPr>
      <w:r>
        <w:t>│                (должность)  (подпись)   (расшифровка     (телефон)      │</w:t>
      </w:r>
    </w:p>
    <w:p w:rsidR="004C508B" w:rsidRDefault="004C508B" w:rsidP="004C508B">
      <w:pPr>
        <w:pStyle w:val="ConsPlusNonformat"/>
        <w:jc w:val="both"/>
      </w:pPr>
      <w:r>
        <w:t>│                                           подписи)                      │</w:t>
      </w:r>
    </w:p>
    <w:p w:rsidR="004C508B" w:rsidRDefault="004C508B" w:rsidP="004C508B">
      <w:pPr>
        <w:pStyle w:val="ConsPlusNonformat"/>
        <w:jc w:val="both"/>
      </w:pPr>
      <w:r>
        <w:t>│"__" __________ 20__ г.                                                  │</w:t>
      </w:r>
    </w:p>
    <w:p w:rsidR="004C508B" w:rsidRDefault="004C508B" w:rsidP="004C508B">
      <w:pPr>
        <w:pStyle w:val="ConsPlusNonformat"/>
        <w:jc w:val="both"/>
      </w:pPr>
      <w:r>
        <w:t>└─────────────────────────────────────────────────────────────────────────┘</w:t>
      </w:r>
    </w:p>
    <w:p w:rsidR="004C508B" w:rsidRDefault="004C508B" w:rsidP="004C508B">
      <w:pPr>
        <w:pStyle w:val="ConsPlusNonformat"/>
        <w:jc w:val="both"/>
      </w:pPr>
    </w:p>
    <w:p w:rsidR="004C508B" w:rsidRDefault="004C508B" w:rsidP="004C508B">
      <w:pPr>
        <w:pStyle w:val="ConsPlusNonformat"/>
        <w:jc w:val="both"/>
      </w:pPr>
      <w:r>
        <w:t xml:space="preserve">                                                       Номер страницы _____</w:t>
      </w:r>
    </w:p>
    <w:p w:rsidR="004C508B" w:rsidRDefault="004C508B" w:rsidP="004C508B">
      <w:pPr>
        <w:pStyle w:val="ConsPlusNonformat"/>
        <w:jc w:val="both"/>
      </w:pPr>
      <w:r>
        <w:t xml:space="preserve">                                                         Всего страниц ____</w:t>
      </w:r>
    </w:p>
    <w:p w:rsidR="004C508B" w:rsidRDefault="004C508B" w:rsidP="004C508B">
      <w:pPr>
        <w:pStyle w:val="ConsPlusNormal"/>
        <w:jc w:val="both"/>
      </w:pPr>
    </w:p>
    <w:p w:rsidR="004C508B" w:rsidRDefault="004C508B" w:rsidP="004C508B">
      <w:pPr>
        <w:pStyle w:val="ConsPlusNormal"/>
        <w:jc w:val="both"/>
      </w:pPr>
    </w:p>
    <w:p w:rsidR="004C508B" w:rsidRDefault="004C508B" w:rsidP="004C508B">
      <w:pPr>
        <w:pStyle w:val="ConsPlusNormal"/>
        <w:jc w:val="both"/>
      </w:pPr>
    </w:p>
    <w:p w:rsidR="004C508B" w:rsidRDefault="004C508B"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6C5A99" w:rsidRDefault="006C5A99" w:rsidP="004C508B">
      <w:pPr>
        <w:pStyle w:val="ConsPlusNormal"/>
        <w:jc w:val="both"/>
      </w:pPr>
    </w:p>
    <w:p w:rsidR="00C91ADE" w:rsidRDefault="00C91ADE" w:rsidP="004C508B">
      <w:pPr>
        <w:pStyle w:val="ConsPlusNormal"/>
        <w:jc w:val="both"/>
      </w:pPr>
    </w:p>
    <w:p w:rsidR="00C91ADE" w:rsidRDefault="00C91ADE" w:rsidP="004C508B">
      <w:pPr>
        <w:pStyle w:val="ConsPlusNormal"/>
        <w:jc w:val="both"/>
      </w:pPr>
    </w:p>
    <w:p w:rsidR="00C91ADE" w:rsidRDefault="00C91ADE" w:rsidP="004C508B">
      <w:pPr>
        <w:pStyle w:val="ConsPlusNormal"/>
        <w:jc w:val="both"/>
      </w:pPr>
    </w:p>
    <w:p w:rsidR="004C508B" w:rsidRDefault="004C508B" w:rsidP="004C508B">
      <w:pPr>
        <w:pStyle w:val="ConsPlusNormal"/>
        <w:jc w:val="both"/>
      </w:pPr>
    </w:p>
    <w:p w:rsidR="004C508B" w:rsidRDefault="004C508B" w:rsidP="004C508B">
      <w:pPr>
        <w:pStyle w:val="ConsPlusNormal"/>
        <w:jc w:val="right"/>
        <w:outlineLvl w:val="1"/>
      </w:pPr>
      <w:r>
        <w:lastRenderedPageBreak/>
        <w:t>Приложение N 2</w:t>
      </w:r>
    </w:p>
    <w:p w:rsidR="004C508B" w:rsidRDefault="004C508B" w:rsidP="004C508B">
      <w:pPr>
        <w:pStyle w:val="ConsPlusNormal"/>
        <w:jc w:val="right"/>
      </w:pPr>
      <w:r>
        <w:t>к Порядку санкционирования</w:t>
      </w:r>
    </w:p>
    <w:p w:rsidR="004C508B" w:rsidRDefault="004C508B" w:rsidP="004C508B">
      <w:pPr>
        <w:pStyle w:val="ConsPlusNormal"/>
        <w:jc w:val="right"/>
      </w:pPr>
      <w:r>
        <w:t xml:space="preserve">расходов </w:t>
      </w:r>
      <w:r w:rsidR="003E4AD5">
        <w:t>муниципальных</w:t>
      </w:r>
    </w:p>
    <w:p w:rsidR="004C508B" w:rsidRDefault="004C508B" w:rsidP="004C508B">
      <w:pPr>
        <w:pStyle w:val="ConsPlusNormal"/>
        <w:jc w:val="right"/>
      </w:pPr>
      <w:r>
        <w:t>бюджетных учреждений и</w:t>
      </w:r>
    </w:p>
    <w:p w:rsidR="004C508B" w:rsidRDefault="003E4AD5" w:rsidP="004C508B">
      <w:pPr>
        <w:pStyle w:val="ConsPlusNormal"/>
        <w:jc w:val="right"/>
      </w:pPr>
      <w:r>
        <w:t>муниципальных</w:t>
      </w:r>
      <w:r w:rsidR="004C508B">
        <w:t xml:space="preserve"> автономных</w:t>
      </w:r>
    </w:p>
    <w:p w:rsidR="004C508B" w:rsidRDefault="004C508B" w:rsidP="004C508B">
      <w:pPr>
        <w:pStyle w:val="ConsPlusNormal"/>
        <w:jc w:val="right"/>
      </w:pPr>
      <w:r>
        <w:t>учреждений, лицевые счета</w:t>
      </w:r>
    </w:p>
    <w:p w:rsidR="004C508B" w:rsidRDefault="004C508B" w:rsidP="004C508B">
      <w:pPr>
        <w:pStyle w:val="ConsPlusNormal"/>
        <w:jc w:val="right"/>
      </w:pPr>
      <w:r>
        <w:t>которым открыты в Управлении</w:t>
      </w:r>
    </w:p>
    <w:p w:rsidR="004C508B" w:rsidRDefault="004C508B" w:rsidP="004C508B">
      <w:pPr>
        <w:pStyle w:val="ConsPlusNormal"/>
        <w:jc w:val="right"/>
      </w:pPr>
      <w:r>
        <w:t>Федерального казначейства</w:t>
      </w:r>
    </w:p>
    <w:p w:rsidR="004C508B" w:rsidRDefault="004C508B" w:rsidP="004C508B">
      <w:pPr>
        <w:pStyle w:val="ConsPlusNormal"/>
        <w:jc w:val="right"/>
      </w:pPr>
      <w:r>
        <w:t>по Республике Бурятия,</w:t>
      </w:r>
    </w:p>
    <w:p w:rsidR="004C508B" w:rsidRDefault="004C508B" w:rsidP="004C508B">
      <w:pPr>
        <w:pStyle w:val="ConsPlusNormal"/>
        <w:jc w:val="right"/>
      </w:pPr>
      <w:r>
        <w:t>источником финансового</w:t>
      </w:r>
    </w:p>
    <w:p w:rsidR="004C508B" w:rsidRDefault="004C508B" w:rsidP="004C508B">
      <w:pPr>
        <w:pStyle w:val="ConsPlusNormal"/>
        <w:jc w:val="right"/>
      </w:pPr>
      <w:r>
        <w:t>обеспечения которых являются</w:t>
      </w:r>
    </w:p>
    <w:p w:rsidR="004C508B" w:rsidRDefault="004C508B" w:rsidP="004C508B">
      <w:pPr>
        <w:pStyle w:val="ConsPlusNormal"/>
        <w:jc w:val="right"/>
      </w:pPr>
      <w:r>
        <w:t>субсидии, полученные</w:t>
      </w:r>
    </w:p>
    <w:p w:rsidR="004C508B" w:rsidRDefault="004C508B" w:rsidP="004C508B">
      <w:pPr>
        <w:pStyle w:val="ConsPlusNormal"/>
        <w:jc w:val="right"/>
      </w:pPr>
      <w:r>
        <w:t>в соответствии с абзацем</w:t>
      </w:r>
    </w:p>
    <w:p w:rsidR="004C508B" w:rsidRDefault="004C508B" w:rsidP="004C508B">
      <w:pPr>
        <w:pStyle w:val="ConsPlusNormal"/>
        <w:jc w:val="right"/>
      </w:pPr>
      <w:r>
        <w:t>вторым пункта 1 статьи 78.1 и</w:t>
      </w:r>
    </w:p>
    <w:p w:rsidR="004C508B" w:rsidRDefault="004C508B" w:rsidP="004C508B">
      <w:pPr>
        <w:pStyle w:val="ConsPlusNormal"/>
        <w:jc w:val="right"/>
      </w:pPr>
      <w:r>
        <w:t>статьей 78.2 Бюджетного кодекса</w:t>
      </w:r>
    </w:p>
    <w:p w:rsidR="004C508B" w:rsidRDefault="004C508B" w:rsidP="004C508B">
      <w:pPr>
        <w:pStyle w:val="ConsPlusNormal"/>
        <w:jc w:val="right"/>
      </w:pPr>
      <w:r>
        <w:t>Российской Федерации</w:t>
      </w:r>
    </w:p>
    <w:p w:rsidR="004C508B" w:rsidRDefault="004C508B" w:rsidP="004C508B">
      <w:pPr>
        <w:pStyle w:val="ConsPlusNormal"/>
        <w:jc w:val="both"/>
      </w:pPr>
    </w:p>
    <w:p w:rsidR="004C508B" w:rsidRDefault="004C508B" w:rsidP="004C508B">
      <w:pPr>
        <w:pStyle w:val="ConsPlusNonformat"/>
        <w:jc w:val="both"/>
      </w:pPr>
      <w:r>
        <w:t xml:space="preserve">                                 УТВЕРЖДАЮ</w:t>
      </w:r>
    </w:p>
    <w:p w:rsidR="004C508B" w:rsidRDefault="004C508B" w:rsidP="004C508B">
      <w:pPr>
        <w:pStyle w:val="ConsPlusNonformat"/>
        <w:jc w:val="both"/>
      </w:pPr>
      <w:r>
        <w:t>___________________________________________________________________________</w:t>
      </w:r>
    </w:p>
    <w:p w:rsidR="004C508B" w:rsidRDefault="004C508B" w:rsidP="004C508B">
      <w:pPr>
        <w:pStyle w:val="ConsPlusNonformat"/>
        <w:jc w:val="both"/>
      </w:pPr>
      <w:r>
        <w:t xml:space="preserve">       (должность лица, утверждающего документ; наименование органа,</w:t>
      </w:r>
    </w:p>
    <w:p w:rsidR="004C508B" w:rsidRDefault="004C508B" w:rsidP="004C508B">
      <w:pPr>
        <w:pStyle w:val="ConsPlusNonformat"/>
        <w:jc w:val="both"/>
      </w:pPr>
      <w:r>
        <w:t>___________________________________________________________________________</w:t>
      </w:r>
    </w:p>
    <w:p w:rsidR="004C508B" w:rsidRDefault="004C508B" w:rsidP="004C508B">
      <w:pPr>
        <w:pStyle w:val="ConsPlusNonformat"/>
        <w:jc w:val="both"/>
      </w:pPr>
      <w:r>
        <w:t xml:space="preserve">       осуществляющего функции и полномочия учредителя (учреждения))</w:t>
      </w:r>
    </w:p>
    <w:p w:rsidR="004C508B" w:rsidRDefault="004C508B" w:rsidP="004C508B">
      <w:pPr>
        <w:pStyle w:val="ConsPlusNonformat"/>
        <w:jc w:val="both"/>
      </w:pPr>
    </w:p>
    <w:p w:rsidR="004C508B" w:rsidRDefault="004C508B" w:rsidP="004C508B">
      <w:pPr>
        <w:pStyle w:val="ConsPlusNonformat"/>
        <w:jc w:val="both"/>
      </w:pPr>
      <w:r>
        <w:t>_________________ _________________________________</w:t>
      </w:r>
    </w:p>
    <w:p w:rsidR="004C508B" w:rsidRDefault="004C508B" w:rsidP="004C508B">
      <w:pPr>
        <w:pStyle w:val="ConsPlusNonformat"/>
        <w:jc w:val="both"/>
      </w:pPr>
      <w:r>
        <w:t xml:space="preserve">    (подпись)           (расшифровка подписи)</w:t>
      </w:r>
    </w:p>
    <w:p w:rsidR="004C508B" w:rsidRDefault="004C508B" w:rsidP="004C508B">
      <w:pPr>
        <w:pStyle w:val="ConsPlusNonformat"/>
        <w:jc w:val="both"/>
      </w:pPr>
      <w:r>
        <w:t>"__" _________ 20__ г.</w:t>
      </w:r>
    </w:p>
    <w:p w:rsidR="004C508B" w:rsidRDefault="004C508B" w:rsidP="004C508B">
      <w:pPr>
        <w:pStyle w:val="ConsPlusNonformat"/>
        <w:jc w:val="both"/>
      </w:pPr>
    </w:p>
    <w:p w:rsidR="004C508B" w:rsidRDefault="004C508B" w:rsidP="004C508B">
      <w:pPr>
        <w:pStyle w:val="ConsPlusNonformat"/>
        <w:jc w:val="both"/>
      </w:pPr>
      <w:bookmarkStart w:id="9" w:name="P330"/>
      <w:bookmarkEnd w:id="9"/>
      <w:r>
        <w:t xml:space="preserve">                                 СВЕДЕНИЯ</w:t>
      </w:r>
    </w:p>
    <w:p w:rsidR="004C508B" w:rsidRDefault="004C508B" w:rsidP="004C508B">
      <w:pPr>
        <w:pStyle w:val="ConsPlusNonformat"/>
        <w:jc w:val="both"/>
      </w:pPr>
      <w:r>
        <w:t xml:space="preserve">               ОБ ОПЕРАЦИЯХ С ЦЕЛЕВЫМИ СУБСИДИЯМИ НА 20__ Г.</w:t>
      </w:r>
    </w:p>
    <w:p w:rsidR="004C508B" w:rsidRDefault="004C508B" w:rsidP="004C508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438"/>
        <w:gridCol w:w="2099"/>
        <w:gridCol w:w="1134"/>
      </w:tblGrid>
      <w:tr w:rsidR="004C508B" w:rsidTr="004D2754">
        <w:tc>
          <w:tcPr>
            <w:tcW w:w="3402" w:type="dxa"/>
            <w:tcBorders>
              <w:top w:val="nil"/>
              <w:left w:val="nil"/>
              <w:bottom w:val="nil"/>
              <w:right w:val="nil"/>
            </w:tcBorders>
          </w:tcPr>
          <w:p w:rsidR="004C508B" w:rsidRDefault="004C508B" w:rsidP="004D2754">
            <w:pPr>
              <w:pStyle w:val="ConsPlusNormal"/>
            </w:pPr>
          </w:p>
        </w:tc>
        <w:tc>
          <w:tcPr>
            <w:tcW w:w="2438" w:type="dxa"/>
            <w:tcBorders>
              <w:top w:val="nil"/>
              <w:left w:val="nil"/>
              <w:bottom w:val="nil"/>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pP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jc w:val="center"/>
            </w:pPr>
            <w:r>
              <w:t>КОДЫ</w:t>
            </w:r>
          </w:p>
        </w:tc>
      </w:tr>
      <w:tr w:rsidR="004C508B" w:rsidTr="004D2754">
        <w:tc>
          <w:tcPr>
            <w:tcW w:w="3402" w:type="dxa"/>
            <w:tcBorders>
              <w:top w:val="nil"/>
              <w:left w:val="nil"/>
              <w:bottom w:val="nil"/>
              <w:right w:val="nil"/>
            </w:tcBorders>
          </w:tcPr>
          <w:p w:rsidR="004C508B" w:rsidRDefault="004C508B" w:rsidP="004D2754">
            <w:pPr>
              <w:pStyle w:val="ConsPlusNormal"/>
            </w:pPr>
          </w:p>
        </w:tc>
        <w:tc>
          <w:tcPr>
            <w:tcW w:w="2438" w:type="dxa"/>
            <w:tcBorders>
              <w:top w:val="nil"/>
              <w:left w:val="nil"/>
              <w:bottom w:val="nil"/>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 xml:space="preserve">Форма по </w:t>
            </w:r>
            <w:hyperlink r:id="rId13" w:history="1">
              <w:r>
                <w:rPr>
                  <w:color w:val="0000FF"/>
                </w:rPr>
                <w:t>ОКУД</w:t>
              </w:r>
            </w:hyperlink>
          </w:p>
        </w:tc>
        <w:tc>
          <w:tcPr>
            <w:tcW w:w="1134" w:type="dxa"/>
            <w:tcBorders>
              <w:top w:val="single" w:sz="4" w:space="0" w:color="auto"/>
              <w:left w:val="single" w:sz="4" w:space="0" w:color="auto"/>
              <w:bottom w:val="single" w:sz="4" w:space="0" w:color="auto"/>
            </w:tcBorders>
          </w:tcPr>
          <w:p w:rsidR="004C508B" w:rsidRDefault="004C508B" w:rsidP="004D2754">
            <w:pPr>
              <w:pStyle w:val="ConsPlusNormal"/>
              <w:jc w:val="center"/>
            </w:pPr>
            <w:r>
              <w:t>0501016</w:t>
            </w:r>
          </w:p>
        </w:tc>
      </w:tr>
      <w:tr w:rsidR="004C508B" w:rsidTr="004D2754">
        <w:tc>
          <w:tcPr>
            <w:tcW w:w="3402" w:type="dxa"/>
            <w:tcBorders>
              <w:top w:val="nil"/>
              <w:left w:val="nil"/>
              <w:bottom w:val="nil"/>
              <w:right w:val="nil"/>
            </w:tcBorders>
          </w:tcPr>
          <w:p w:rsidR="004C508B" w:rsidRDefault="004C508B" w:rsidP="004D2754">
            <w:pPr>
              <w:pStyle w:val="ConsPlusNormal"/>
            </w:pPr>
          </w:p>
        </w:tc>
        <w:tc>
          <w:tcPr>
            <w:tcW w:w="2438" w:type="dxa"/>
            <w:tcBorders>
              <w:top w:val="nil"/>
              <w:left w:val="nil"/>
              <w:bottom w:val="nil"/>
              <w:right w:val="nil"/>
            </w:tcBorders>
          </w:tcPr>
          <w:p w:rsidR="004C508B" w:rsidRDefault="004C508B" w:rsidP="004D2754">
            <w:pPr>
              <w:pStyle w:val="ConsPlusNormal"/>
            </w:pPr>
            <w:r>
              <w:t>от "__" _____ 20__ г.</w:t>
            </w:r>
          </w:p>
        </w:tc>
        <w:tc>
          <w:tcPr>
            <w:tcW w:w="2099" w:type="dxa"/>
            <w:tcBorders>
              <w:top w:val="nil"/>
              <w:left w:val="nil"/>
              <w:bottom w:val="nil"/>
              <w:right w:val="single" w:sz="4" w:space="0" w:color="auto"/>
            </w:tcBorders>
          </w:tcPr>
          <w:p w:rsidR="004C508B" w:rsidRDefault="004C508B" w:rsidP="004D2754">
            <w:pPr>
              <w:pStyle w:val="ConsPlusNormal"/>
              <w:jc w:val="right"/>
            </w:pPr>
            <w:r>
              <w:t>Дата</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p>
        </w:tc>
        <w:tc>
          <w:tcPr>
            <w:tcW w:w="2438" w:type="dxa"/>
            <w:tcBorders>
              <w:top w:val="nil"/>
              <w:left w:val="nil"/>
              <w:bottom w:val="nil"/>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Дата представления предыдущих Сведений</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p>
        </w:tc>
        <w:tc>
          <w:tcPr>
            <w:tcW w:w="2438" w:type="dxa"/>
            <w:tcBorders>
              <w:top w:val="nil"/>
              <w:left w:val="nil"/>
              <w:bottom w:val="nil"/>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по Сводному Реестру</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p>
        </w:tc>
        <w:tc>
          <w:tcPr>
            <w:tcW w:w="2438" w:type="dxa"/>
            <w:tcBorders>
              <w:top w:val="nil"/>
              <w:left w:val="nil"/>
              <w:bottom w:val="nil"/>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Номер лицевого счета</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p>
        </w:tc>
        <w:tc>
          <w:tcPr>
            <w:tcW w:w="2438" w:type="dxa"/>
            <w:tcBorders>
              <w:top w:val="nil"/>
              <w:left w:val="nil"/>
              <w:bottom w:val="nil"/>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ИНН</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r>
              <w:t>Наименование учреждения</w:t>
            </w:r>
          </w:p>
        </w:tc>
        <w:tc>
          <w:tcPr>
            <w:tcW w:w="2438" w:type="dxa"/>
            <w:tcBorders>
              <w:top w:val="nil"/>
              <w:left w:val="nil"/>
              <w:bottom w:val="single" w:sz="4" w:space="0" w:color="auto"/>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КПП</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p>
        </w:tc>
        <w:tc>
          <w:tcPr>
            <w:tcW w:w="2438" w:type="dxa"/>
            <w:tcBorders>
              <w:top w:val="single" w:sz="4" w:space="0" w:color="auto"/>
              <w:left w:val="nil"/>
              <w:bottom w:val="nil"/>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по Сводному Реестру</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p>
        </w:tc>
        <w:tc>
          <w:tcPr>
            <w:tcW w:w="2438" w:type="dxa"/>
            <w:tcBorders>
              <w:top w:val="nil"/>
              <w:left w:val="nil"/>
              <w:bottom w:val="nil"/>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Номер лицевого счета</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r>
              <w:lastRenderedPageBreak/>
              <w:t>Наименование обособленного подразделения</w:t>
            </w:r>
          </w:p>
        </w:tc>
        <w:tc>
          <w:tcPr>
            <w:tcW w:w="2438" w:type="dxa"/>
            <w:tcBorders>
              <w:top w:val="nil"/>
              <w:left w:val="nil"/>
              <w:bottom w:val="single" w:sz="4" w:space="0" w:color="auto"/>
              <w:right w:val="nil"/>
            </w:tcBorders>
          </w:tcPr>
          <w:p w:rsidR="004C508B" w:rsidRDefault="004C508B" w:rsidP="004D2754">
            <w:pPr>
              <w:pStyle w:val="ConsPlusNormal"/>
            </w:pPr>
          </w:p>
        </w:tc>
        <w:tc>
          <w:tcPr>
            <w:tcW w:w="2099" w:type="dxa"/>
            <w:tcBorders>
              <w:top w:val="nil"/>
              <w:left w:val="nil"/>
              <w:bottom w:val="nil"/>
              <w:right w:val="single" w:sz="4" w:space="0" w:color="auto"/>
            </w:tcBorders>
            <w:vAlign w:val="bottom"/>
          </w:tcPr>
          <w:p w:rsidR="004C508B" w:rsidRDefault="004C508B" w:rsidP="004D2754">
            <w:pPr>
              <w:pStyle w:val="ConsPlusNormal"/>
              <w:jc w:val="right"/>
            </w:pPr>
            <w:r>
              <w:t>КПП</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vMerge w:val="restart"/>
            <w:tcBorders>
              <w:top w:val="nil"/>
              <w:left w:val="nil"/>
              <w:bottom w:val="nil"/>
              <w:right w:val="nil"/>
            </w:tcBorders>
          </w:tcPr>
          <w:p w:rsidR="004C508B" w:rsidRDefault="004C508B" w:rsidP="004D2754">
            <w:pPr>
              <w:pStyle w:val="ConsPlusNormal"/>
            </w:pPr>
            <w:r>
              <w:t>Наименование органа, осуществляющего функции и полномочия учредителя</w:t>
            </w:r>
          </w:p>
        </w:tc>
        <w:tc>
          <w:tcPr>
            <w:tcW w:w="2438" w:type="dxa"/>
            <w:tcBorders>
              <w:top w:val="single" w:sz="4" w:space="0" w:color="auto"/>
              <w:left w:val="nil"/>
              <w:bottom w:val="nil"/>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Глава по БК</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vMerge/>
            <w:tcBorders>
              <w:top w:val="nil"/>
              <w:left w:val="nil"/>
              <w:bottom w:val="nil"/>
              <w:right w:val="nil"/>
            </w:tcBorders>
          </w:tcPr>
          <w:p w:rsidR="004C508B" w:rsidRDefault="004C508B" w:rsidP="004D2754">
            <w:pPr>
              <w:spacing w:after="1" w:line="240" w:lineRule="atLeast"/>
            </w:pPr>
          </w:p>
        </w:tc>
        <w:tc>
          <w:tcPr>
            <w:tcW w:w="2438" w:type="dxa"/>
            <w:tcBorders>
              <w:top w:val="nil"/>
              <w:left w:val="nil"/>
              <w:bottom w:val="single" w:sz="4" w:space="0" w:color="auto"/>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Номер лицевого счета</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r>
              <w:t>Наименование территориального органа Федерального казначейства, осуществляющего ведение лицевого счета</w:t>
            </w:r>
          </w:p>
        </w:tc>
        <w:tc>
          <w:tcPr>
            <w:tcW w:w="2438" w:type="dxa"/>
            <w:tcBorders>
              <w:top w:val="single" w:sz="4" w:space="0" w:color="auto"/>
              <w:left w:val="nil"/>
              <w:bottom w:val="single" w:sz="4" w:space="0" w:color="auto"/>
              <w:right w:val="nil"/>
            </w:tcBorders>
          </w:tcPr>
          <w:p w:rsidR="004C508B" w:rsidRDefault="004C508B" w:rsidP="004D2754">
            <w:pPr>
              <w:pStyle w:val="ConsPlusNormal"/>
            </w:pPr>
          </w:p>
        </w:tc>
        <w:tc>
          <w:tcPr>
            <w:tcW w:w="2099" w:type="dxa"/>
            <w:tcBorders>
              <w:top w:val="nil"/>
              <w:left w:val="nil"/>
              <w:bottom w:val="nil"/>
              <w:right w:val="single" w:sz="4" w:space="0" w:color="auto"/>
            </w:tcBorders>
            <w:vAlign w:val="bottom"/>
          </w:tcPr>
          <w:p w:rsidR="004C508B" w:rsidRDefault="004C508B" w:rsidP="004D2754">
            <w:pPr>
              <w:pStyle w:val="ConsPlusNormal"/>
              <w:jc w:val="right"/>
            </w:pPr>
            <w:r>
              <w:t>по КОФК</w:t>
            </w:r>
          </w:p>
        </w:tc>
        <w:tc>
          <w:tcPr>
            <w:tcW w:w="1134" w:type="dxa"/>
            <w:tcBorders>
              <w:top w:val="single" w:sz="4" w:space="0" w:color="auto"/>
              <w:left w:val="single" w:sz="4" w:space="0" w:color="auto"/>
              <w:bottom w:val="single" w:sz="4" w:space="0" w:color="auto"/>
            </w:tcBorders>
          </w:tcPr>
          <w:p w:rsidR="004C508B" w:rsidRDefault="004C508B" w:rsidP="004D2754">
            <w:pPr>
              <w:pStyle w:val="ConsPlusNormal"/>
            </w:pPr>
          </w:p>
        </w:tc>
      </w:tr>
      <w:tr w:rsidR="004C508B" w:rsidTr="004D2754">
        <w:tc>
          <w:tcPr>
            <w:tcW w:w="3402" w:type="dxa"/>
            <w:tcBorders>
              <w:top w:val="nil"/>
              <w:left w:val="nil"/>
              <w:bottom w:val="nil"/>
              <w:right w:val="nil"/>
            </w:tcBorders>
          </w:tcPr>
          <w:p w:rsidR="004C508B" w:rsidRDefault="004C508B" w:rsidP="004D2754">
            <w:pPr>
              <w:pStyle w:val="ConsPlusNormal"/>
            </w:pPr>
            <w:r>
              <w:t>Единица измерения: руб.</w:t>
            </w:r>
          </w:p>
        </w:tc>
        <w:tc>
          <w:tcPr>
            <w:tcW w:w="2438" w:type="dxa"/>
            <w:tcBorders>
              <w:top w:val="single" w:sz="4" w:space="0" w:color="auto"/>
              <w:left w:val="nil"/>
              <w:bottom w:val="single" w:sz="4" w:space="0" w:color="auto"/>
              <w:right w:val="nil"/>
            </w:tcBorders>
          </w:tcPr>
          <w:p w:rsidR="004C508B" w:rsidRDefault="004C508B" w:rsidP="004D2754">
            <w:pPr>
              <w:pStyle w:val="ConsPlusNormal"/>
            </w:pPr>
          </w:p>
        </w:tc>
        <w:tc>
          <w:tcPr>
            <w:tcW w:w="2099" w:type="dxa"/>
            <w:tcBorders>
              <w:top w:val="nil"/>
              <w:left w:val="nil"/>
              <w:bottom w:val="nil"/>
              <w:right w:val="single" w:sz="4" w:space="0" w:color="auto"/>
            </w:tcBorders>
          </w:tcPr>
          <w:p w:rsidR="004C508B" w:rsidRDefault="004C508B" w:rsidP="004D2754">
            <w:pPr>
              <w:pStyle w:val="ConsPlusNormal"/>
              <w:jc w:val="right"/>
            </w:pPr>
            <w:r>
              <w:t xml:space="preserve">по </w:t>
            </w:r>
            <w:hyperlink r:id="rId14" w:history="1">
              <w:r>
                <w:rPr>
                  <w:color w:val="0000FF"/>
                </w:rPr>
                <w:t>ОКЕИ</w:t>
              </w:r>
            </w:hyperlink>
          </w:p>
        </w:tc>
        <w:tc>
          <w:tcPr>
            <w:tcW w:w="1134" w:type="dxa"/>
            <w:tcBorders>
              <w:top w:val="single" w:sz="4" w:space="0" w:color="auto"/>
              <w:left w:val="single" w:sz="4" w:space="0" w:color="auto"/>
              <w:bottom w:val="single" w:sz="4" w:space="0" w:color="auto"/>
            </w:tcBorders>
          </w:tcPr>
          <w:p w:rsidR="004C508B" w:rsidRDefault="004C508B" w:rsidP="004D2754">
            <w:pPr>
              <w:pStyle w:val="ConsPlusNormal"/>
              <w:jc w:val="center"/>
            </w:pPr>
            <w:r>
              <w:t>383</w:t>
            </w:r>
          </w:p>
        </w:tc>
      </w:tr>
    </w:tbl>
    <w:p w:rsidR="004C508B" w:rsidRDefault="004C508B" w:rsidP="004C508B">
      <w:pPr>
        <w:pStyle w:val="ConsPlusNormal"/>
        <w:jc w:val="both"/>
      </w:pPr>
    </w:p>
    <w:p w:rsidR="004C508B" w:rsidRDefault="004C508B" w:rsidP="000F23F0">
      <w:pPr>
        <w:pStyle w:val="ConsPlusNormal"/>
        <w:ind w:firstLine="540"/>
        <w:jc w:val="both"/>
      </w:pPr>
    </w:p>
    <w:p w:rsidR="006F0EF0" w:rsidRDefault="000F23F0" w:rsidP="00754E3C">
      <w:pPr>
        <w:pStyle w:val="ConsPlusNormal"/>
        <w:jc w:val="both"/>
      </w:pPr>
      <w:r>
        <w:t xml:space="preserve">       </w:t>
      </w:r>
    </w:p>
    <w:sectPr w:rsidR="006F0EF0" w:rsidSect="00754E3C">
      <w:pgSz w:w="11906" w:h="16838"/>
      <w:pgMar w:top="426"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63"/>
    <w:rsid w:val="000471E1"/>
    <w:rsid w:val="0004790F"/>
    <w:rsid w:val="0009515E"/>
    <w:rsid w:val="000E4290"/>
    <w:rsid w:val="000F23F0"/>
    <w:rsid w:val="001749B7"/>
    <w:rsid w:val="001E0A4B"/>
    <w:rsid w:val="00214832"/>
    <w:rsid w:val="002800F1"/>
    <w:rsid w:val="002A166B"/>
    <w:rsid w:val="00343AB1"/>
    <w:rsid w:val="00346FA6"/>
    <w:rsid w:val="003541C6"/>
    <w:rsid w:val="00361644"/>
    <w:rsid w:val="003A4B8C"/>
    <w:rsid w:val="003E4AD5"/>
    <w:rsid w:val="003E77B7"/>
    <w:rsid w:val="004651E3"/>
    <w:rsid w:val="00472154"/>
    <w:rsid w:val="00480CB8"/>
    <w:rsid w:val="004A3708"/>
    <w:rsid w:val="004C508B"/>
    <w:rsid w:val="004D2754"/>
    <w:rsid w:val="0052074B"/>
    <w:rsid w:val="005533AB"/>
    <w:rsid w:val="005C510C"/>
    <w:rsid w:val="006671D4"/>
    <w:rsid w:val="006C52C7"/>
    <w:rsid w:val="006C5A99"/>
    <w:rsid w:val="006F0EF0"/>
    <w:rsid w:val="006F3A85"/>
    <w:rsid w:val="00754E3C"/>
    <w:rsid w:val="007B4BDF"/>
    <w:rsid w:val="007E0AC2"/>
    <w:rsid w:val="0087306C"/>
    <w:rsid w:val="008C7AD7"/>
    <w:rsid w:val="00901D7E"/>
    <w:rsid w:val="00944CBE"/>
    <w:rsid w:val="00965151"/>
    <w:rsid w:val="0099185B"/>
    <w:rsid w:val="009D611D"/>
    <w:rsid w:val="00A012EF"/>
    <w:rsid w:val="00A12FDD"/>
    <w:rsid w:val="00A7047F"/>
    <w:rsid w:val="00A822A2"/>
    <w:rsid w:val="00A868EF"/>
    <w:rsid w:val="00B2057F"/>
    <w:rsid w:val="00B72A9B"/>
    <w:rsid w:val="00B831FB"/>
    <w:rsid w:val="00B97090"/>
    <w:rsid w:val="00BC3584"/>
    <w:rsid w:val="00C35781"/>
    <w:rsid w:val="00C910E9"/>
    <w:rsid w:val="00C91ADE"/>
    <w:rsid w:val="00CC3549"/>
    <w:rsid w:val="00CE122B"/>
    <w:rsid w:val="00CE627A"/>
    <w:rsid w:val="00D345F1"/>
    <w:rsid w:val="00D44E23"/>
    <w:rsid w:val="00D62C59"/>
    <w:rsid w:val="00D775EF"/>
    <w:rsid w:val="00D94D43"/>
    <w:rsid w:val="00DC2866"/>
    <w:rsid w:val="00DC4563"/>
    <w:rsid w:val="00DE0687"/>
    <w:rsid w:val="00E27B9D"/>
    <w:rsid w:val="00E52CAF"/>
    <w:rsid w:val="00EA3A05"/>
    <w:rsid w:val="00EE471E"/>
    <w:rsid w:val="00EF1B02"/>
    <w:rsid w:val="00F04891"/>
    <w:rsid w:val="00F21996"/>
    <w:rsid w:val="00F732BB"/>
    <w:rsid w:val="00F73C28"/>
    <w:rsid w:val="00F9196E"/>
    <w:rsid w:val="00FC31A1"/>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4870BB-445D-438C-9C5B-E1D2CB84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901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01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41AADFC82D3B2E74F8A5147B20C8C86DD3741B923670C5AA266CACB436D08448D43CA00BDBE62AFE46BE001D9B93C742CC3BCF80F11084xDH6H" TargetMode="External"/><Relationship Id="rId13" Type="http://schemas.openxmlformats.org/officeDocument/2006/relationships/hyperlink" Target="consultantplus://offline/ref=F941AADFC82D3B2E74F8A5147B20C8C86DD37014903470C5AA266CACB436D0845AD464AC09D3F828F653E8515BxCHCH" TargetMode="External"/><Relationship Id="rId3" Type="http://schemas.openxmlformats.org/officeDocument/2006/relationships/webSettings" Target="webSettings.xml"/><Relationship Id="rId7" Type="http://schemas.openxmlformats.org/officeDocument/2006/relationships/hyperlink" Target="consultantplus://offline/ref=F941AADFC82D3B2E74F8A5147B20C8C86DD37014903470C5AA266CACB436D0845AD464AC09D3F828F653E8515BxCHCH" TargetMode="External"/><Relationship Id="rId12" Type="http://schemas.openxmlformats.org/officeDocument/2006/relationships/hyperlink" Target="consultantplus://offline/ref=F941AADFC82D3B2E74F8A5147B20C8C86ADA771B903870C5AA266CACB436D0845AD464AC09D3F828F653E8515BxCHC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41AADFC82D3B2E74F8A5147B20C8C86DD37014903470C5AA266CACB436D0845AD464AC09D3F828F653E8515BxCHCH" TargetMode="External"/><Relationship Id="rId11" Type="http://schemas.openxmlformats.org/officeDocument/2006/relationships/hyperlink" Target="consultantplus://offline/ref=F941AADFC82D3B2E74F8A5147B20C8C86DD37014903470C5AA266CACB436D0845AD464AC09D3F828F653E8515BxCHCH" TargetMode="External"/><Relationship Id="rId5" Type="http://schemas.openxmlformats.org/officeDocument/2006/relationships/hyperlink" Target="https://login.consultant.ru/link/?req=doc&amp;base=LAW&amp;n=377026&amp;date=27.01.2022&amp;dst=103433&amp;field=134" TargetMode="External"/><Relationship Id="rId15" Type="http://schemas.openxmlformats.org/officeDocument/2006/relationships/fontTable" Target="fontTable.xml"/><Relationship Id="rId10" Type="http://schemas.openxmlformats.org/officeDocument/2006/relationships/hyperlink" Target="consultantplus://offline/ref=F941AADFC82D3B2E74F8A5147B20C8C86AD47312963670C5AA266CACB436D08448D43CA709D8E523A31CAE0454CC96DB4AD325CC9EF1x1H2H" TargetMode="External"/><Relationship Id="rId4" Type="http://schemas.openxmlformats.org/officeDocument/2006/relationships/hyperlink" Target="https://login.consultant.ru/link/?req=doc&amp;base=LAW&amp;n=377026&amp;date=27.01.2022&amp;dst=3146&amp;field=134" TargetMode="External"/><Relationship Id="rId9" Type="http://schemas.openxmlformats.org/officeDocument/2006/relationships/hyperlink" Target="consultantplus://offline/ref=F941AADFC82D3B2E74F8A5147B20C8C86DD3741B923270C5AA266CACB436D08448D43CA00BDBE629FE46BE001D9B93C742CC3BCF80F11084xDH6H" TargetMode="External"/><Relationship Id="rId14" Type="http://schemas.openxmlformats.org/officeDocument/2006/relationships/hyperlink" Target="consultantplus://offline/ref=F941AADFC82D3B2E74F8A5147B20C8C86ADA771A933370C5AA266CACB436D0845AD464AC09D3F828F653E8515BxCH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4125</Words>
  <Characters>23514</Characters>
  <Application>Microsoft Office Word</Application>
  <DocSecurity>2</DocSecurity>
  <Lines>195</Lines>
  <Paragraphs>55</Paragraphs>
  <ScaleCrop>false</ScaleCrop>
  <HeadingPairs>
    <vt:vector size="2" baseType="variant">
      <vt:variant>
        <vt:lpstr>Название</vt:lpstr>
      </vt:variant>
      <vt:variant>
        <vt:i4>1</vt:i4>
      </vt:variant>
    </vt:vector>
  </HeadingPairs>
  <TitlesOfParts>
    <vt:vector size="1" baseType="lpstr">
      <vt:lpstr>Приказ Минфина России от 13.12.2017 N 226н(ред. от 21.10.2021)"Об утверждении Порядка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vt:lpstr>
    </vt:vector>
  </TitlesOfParts>
  <Company>КонсультантПлюс Версия 4021.00.20</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13.12.2017 N 226н(ред. от 21.10.2021)"Об утверждении Порядка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dc:title>
  <dc:subject/>
  <dc:creator>1234</dc:creator>
  <cp:keywords/>
  <dc:description/>
  <cp:lastModifiedBy>Admin</cp:lastModifiedBy>
  <cp:revision>2</cp:revision>
  <cp:lastPrinted>2022-02-14T03:46:00Z</cp:lastPrinted>
  <dcterms:created xsi:type="dcterms:W3CDTF">2024-07-31T19:12:00Z</dcterms:created>
  <dcterms:modified xsi:type="dcterms:W3CDTF">2024-07-31T19:12:00Z</dcterms:modified>
</cp:coreProperties>
</file>