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35" w:rsidRPr="00B01803" w:rsidRDefault="00311D24" w:rsidP="00AB2AEC">
      <w:pPr>
        <w:pStyle w:val="1"/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 w:rsidRPr="00B01803">
        <w:rPr>
          <w:color w:val="000000" w:themeColor="text1"/>
          <w:sz w:val="52"/>
          <w:szCs w:val="52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96175EC" wp14:editId="7AF5A65D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1BE" w:rsidRPr="00B01803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ПЕРВАЯ ВСЕСОЮЗНАЯ ПЕРЕПИСЬ </w:t>
      </w:r>
      <w:r w:rsidR="00B01803" w:rsidRPr="00B01803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НАСЕЛЕНИЯ </w:t>
      </w:r>
      <w:r w:rsidR="00C241BE" w:rsidRPr="00B01803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1926 ГОДА</w:t>
      </w:r>
    </w:p>
    <w:p w:rsidR="00C452DE" w:rsidRPr="00BD5523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vertAlign w:val="subscript"/>
          <w:lang w:val="ru-RU"/>
        </w:rPr>
      </w:pPr>
    </w:p>
    <w:p w:rsidR="00C452DE" w:rsidRPr="00C452DE" w:rsidRDefault="00D26100" w:rsidP="00AB2AEC">
      <w:pPr>
        <w:pStyle w:val="10"/>
      </w:pPr>
      <w:r w:rsidRPr="00EC6272">
        <w:rPr>
          <w:noProof/>
          <w:color w:val="595959" w:themeColor="text1" w:themeTint="A6"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6789254A" wp14:editId="136873A2">
            <wp:simplePos x="0" y="0"/>
            <wp:positionH relativeFrom="column">
              <wp:posOffset>1751330</wp:posOffset>
            </wp:positionH>
            <wp:positionV relativeFrom="paragraph">
              <wp:posOffset>875665</wp:posOffset>
            </wp:positionV>
            <wp:extent cx="1472565" cy="1977390"/>
            <wp:effectExtent l="190500" t="133350" r="184785" b="13716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0000">
                      <a:off x="0" y="0"/>
                      <a:ext cx="14725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272">
        <w:rPr>
          <w:noProof/>
          <w:color w:val="595959" w:themeColor="text1" w:themeTint="A6"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7E859834" wp14:editId="662D00EB">
            <wp:simplePos x="0" y="0"/>
            <wp:positionH relativeFrom="column">
              <wp:posOffset>3810</wp:posOffset>
            </wp:positionH>
            <wp:positionV relativeFrom="paragraph">
              <wp:posOffset>671195</wp:posOffset>
            </wp:positionV>
            <wp:extent cx="1732915" cy="2300605"/>
            <wp:effectExtent l="0" t="0" r="635" b="4445"/>
            <wp:wrapTopAndBottom/>
            <wp:docPr id="11" name="Picture 2" descr="IMG_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IMG_45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C55" w:rsidRPr="00893C55">
        <w:t xml:space="preserve">КАК ПРОХОДИЛА </w:t>
      </w:r>
      <w:r w:rsidR="00A44D17">
        <w:t xml:space="preserve">первая </w:t>
      </w:r>
      <w:r w:rsidR="00893C55" w:rsidRPr="00893C55">
        <w:t xml:space="preserve">ПЕРЕПИСЬ </w:t>
      </w:r>
      <w:r w:rsidR="00A44D17">
        <w:t xml:space="preserve">населения </w:t>
      </w:r>
      <w:r w:rsidR="00A44D17">
        <w:br/>
        <w:t>в истории СССР</w:t>
      </w:r>
    </w:p>
    <w:p w:rsidR="009F5818" w:rsidRPr="00810DB5" w:rsidRDefault="009F5818" w:rsidP="009F5818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 xml:space="preserve">Самую подробную программу переписи населения имела именно перепись 1926 года. </w:t>
      </w:r>
      <w:r w:rsidR="00810DB5">
        <w:rPr>
          <w:rFonts w:ascii="Arial" w:hAnsi="Arial"/>
          <w:color w:val="525252" w:themeColor="accent3" w:themeShade="80"/>
        </w:rPr>
        <w:t>Эта п</w:t>
      </w:r>
      <w:r w:rsidR="00722121" w:rsidRPr="00810DB5">
        <w:rPr>
          <w:rFonts w:ascii="Arial" w:hAnsi="Arial"/>
          <w:color w:val="525252" w:themeColor="accent3" w:themeShade="80"/>
        </w:rPr>
        <w:t>ерепись отличалась не только продуманной методикой, но и богатством собранных данных.</w:t>
      </w:r>
      <w:r w:rsidRPr="00810DB5">
        <w:rPr>
          <w:rFonts w:ascii="Arial" w:hAnsi="Arial"/>
          <w:color w:val="525252" w:themeColor="accent3" w:themeShade="80"/>
        </w:rPr>
        <w:t xml:space="preserve"> На </w:t>
      </w:r>
      <w:r w:rsidR="00C16240" w:rsidRPr="00810DB5">
        <w:rPr>
          <w:rFonts w:ascii="Arial" w:hAnsi="Arial"/>
          <w:color w:val="525252" w:themeColor="accent3" w:themeShade="80"/>
        </w:rPr>
        <w:t>основе</w:t>
      </w:r>
      <w:r w:rsidRPr="00810DB5">
        <w:rPr>
          <w:rFonts w:ascii="Arial" w:hAnsi="Arial"/>
          <w:color w:val="525252" w:themeColor="accent3" w:themeShade="80"/>
        </w:rPr>
        <w:t xml:space="preserve"> материалов этой переписи разрабатывался баланс народного хозяйства, выполнялись текущие расчеты численности и состава населения за ближайшие </w:t>
      </w:r>
      <w:proofErr w:type="spellStart"/>
      <w:r w:rsidRPr="00810DB5">
        <w:rPr>
          <w:rFonts w:ascii="Arial" w:hAnsi="Arial"/>
          <w:color w:val="525252" w:themeColor="accent3" w:themeShade="80"/>
        </w:rPr>
        <w:t>послепереписные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 годы, строились демографические прогнозы, были построены таблицы смертности населения СССР за 1926-1927 годы.</w:t>
      </w:r>
    </w:p>
    <w:p w:rsidR="00A733B9" w:rsidRPr="00810DB5" w:rsidRDefault="00C241BE" w:rsidP="00A733B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 xml:space="preserve">Первая Всесоюзная перепись населения </w:t>
      </w:r>
      <w:r w:rsidR="00D027C7" w:rsidRPr="00810DB5">
        <w:rPr>
          <w:rFonts w:ascii="Arial" w:hAnsi="Arial"/>
          <w:color w:val="525252" w:themeColor="accent3" w:themeShade="80"/>
        </w:rPr>
        <w:t>была проведена</w:t>
      </w:r>
      <w:r w:rsidRPr="00810DB5">
        <w:rPr>
          <w:rFonts w:ascii="Arial" w:hAnsi="Arial"/>
          <w:color w:val="525252" w:themeColor="accent3" w:themeShade="80"/>
        </w:rPr>
        <w:t xml:space="preserve"> 17 декабря в соответствии с постановлением Центрального Исполнительного Комитета и </w:t>
      </w:r>
      <w:proofErr w:type="gramStart"/>
      <w:r w:rsidRPr="00810DB5">
        <w:rPr>
          <w:rFonts w:ascii="Arial" w:hAnsi="Arial"/>
          <w:color w:val="525252" w:themeColor="accent3" w:themeShade="80"/>
        </w:rPr>
        <w:t>Совета</w:t>
      </w:r>
      <w:proofErr w:type="gramEnd"/>
      <w:r w:rsidRPr="00810DB5">
        <w:rPr>
          <w:rFonts w:ascii="Arial" w:hAnsi="Arial"/>
          <w:color w:val="525252" w:themeColor="accent3" w:themeShade="80"/>
        </w:rPr>
        <w:t xml:space="preserve"> Народных Комиссаров Союза ССР от 3 сентября 1926 года. </w:t>
      </w:r>
      <w:r w:rsidR="00A733B9" w:rsidRPr="00810DB5">
        <w:rPr>
          <w:rFonts w:ascii="Arial" w:hAnsi="Arial"/>
          <w:color w:val="525252" w:themeColor="accent3" w:themeShade="80"/>
        </w:rPr>
        <w:t>Основным инструментарием переписи были личный листок, семейная карта и подворная ведомость (на русском и бурятском языках).</w:t>
      </w:r>
    </w:p>
    <w:p w:rsidR="00A733B9" w:rsidRPr="00810DB5" w:rsidRDefault="00A733B9" w:rsidP="00A733B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 xml:space="preserve">Перепись производилась 7 дней в городах и 14 дней в сельской местности. Без соблюдения критического дня перепись была произведена на всем Крайнем Севере РСФСР, в том числе в </w:t>
      </w:r>
      <w:proofErr w:type="spellStart"/>
      <w:r w:rsidRPr="00810DB5">
        <w:rPr>
          <w:rFonts w:ascii="Arial" w:hAnsi="Arial"/>
          <w:color w:val="525252" w:themeColor="accent3" w:themeShade="80"/>
        </w:rPr>
        <w:t>Баунтовском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 районе Бурят-Монгольской АССР в марте 1927 года. Помимо установления списка городских и сельских поселений, составлялись списки пригородов: по г. </w:t>
      </w:r>
      <w:proofErr w:type="spellStart"/>
      <w:r w:rsidRPr="00810DB5">
        <w:rPr>
          <w:rFonts w:ascii="Arial" w:hAnsi="Arial"/>
          <w:color w:val="525252" w:themeColor="accent3" w:themeShade="80"/>
        </w:rPr>
        <w:t>Верхнеудинску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 в состав пригородов были включены: Верхняя Березовка, с. </w:t>
      </w:r>
      <w:proofErr w:type="spellStart"/>
      <w:r w:rsidRPr="00810DB5">
        <w:rPr>
          <w:rFonts w:ascii="Arial" w:hAnsi="Arial"/>
          <w:color w:val="525252" w:themeColor="accent3" w:themeShade="80"/>
        </w:rPr>
        <w:t>Зауда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, с. </w:t>
      </w:r>
      <w:proofErr w:type="spellStart"/>
      <w:r w:rsidRPr="00810DB5">
        <w:rPr>
          <w:rFonts w:ascii="Arial" w:hAnsi="Arial"/>
          <w:color w:val="525252" w:themeColor="accent3" w:themeShade="80"/>
        </w:rPr>
        <w:t>Поселье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; по г. </w:t>
      </w:r>
      <w:proofErr w:type="spellStart"/>
      <w:r w:rsidRPr="00810DB5">
        <w:rPr>
          <w:rFonts w:ascii="Arial" w:hAnsi="Arial"/>
          <w:color w:val="525252" w:themeColor="accent3" w:themeShade="80"/>
        </w:rPr>
        <w:t>Троицкосавск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 – слобода  Кяхта.</w:t>
      </w:r>
    </w:p>
    <w:p w:rsidR="00C241BE" w:rsidRPr="00810DB5" w:rsidRDefault="00C241BE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 xml:space="preserve">Перепись </w:t>
      </w:r>
      <w:r w:rsidR="00A733B9" w:rsidRPr="00810DB5">
        <w:rPr>
          <w:rFonts w:ascii="Arial" w:hAnsi="Arial"/>
          <w:color w:val="525252" w:themeColor="accent3" w:themeShade="80"/>
        </w:rPr>
        <w:t>проводилась</w:t>
      </w:r>
      <w:r w:rsidRPr="00810DB5">
        <w:rPr>
          <w:rFonts w:ascii="Arial" w:hAnsi="Arial"/>
          <w:color w:val="525252" w:themeColor="accent3" w:themeShade="80"/>
        </w:rPr>
        <w:t xml:space="preserve"> по принципу счета наличного населения. Личные листки составлялись на лиц, проведших ночь с 16 на 17 декабря 1926 года в данном населенном пункте. Личные листки составлялись (на каждого жителя отдельный листок) только для наличного населения, семейные карты – как на семьи, так и на одиночек. Сверх того в городских поселениях на каждое владение составлялась особая «</w:t>
      </w:r>
      <w:proofErr w:type="spellStart"/>
      <w:r w:rsidRPr="00810DB5">
        <w:rPr>
          <w:rFonts w:ascii="Arial" w:hAnsi="Arial"/>
          <w:color w:val="525252" w:themeColor="accent3" w:themeShade="80"/>
        </w:rPr>
        <w:t>владенная</w:t>
      </w:r>
      <w:proofErr w:type="spellEnd"/>
      <w:r w:rsidRPr="00810DB5">
        <w:rPr>
          <w:rFonts w:ascii="Arial" w:hAnsi="Arial"/>
          <w:color w:val="525252" w:themeColor="accent3" w:themeShade="80"/>
        </w:rPr>
        <w:t xml:space="preserve"> ведомость», отражающая принадлежность владения, наличие земельного участка, благоустройство владения. В сельских местностях по каждому населенному пункту заполнялся особый «поселенный список домохозяев». </w:t>
      </w:r>
    </w:p>
    <w:p w:rsidR="00C241BE" w:rsidRPr="00810DB5" w:rsidRDefault="005F3555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proofErr w:type="gramStart"/>
      <w:r w:rsidRPr="00810DB5">
        <w:rPr>
          <w:rFonts w:ascii="Arial" w:hAnsi="Arial"/>
          <w:color w:val="525252" w:themeColor="accent3" w:themeShade="80"/>
        </w:rPr>
        <w:t xml:space="preserve">Содержание личного листка переписи 1926 года определялось </w:t>
      </w:r>
      <w:r w:rsidR="00C241BE" w:rsidRPr="00810DB5">
        <w:rPr>
          <w:rFonts w:ascii="Arial" w:hAnsi="Arial"/>
          <w:color w:val="525252" w:themeColor="accent3" w:themeShade="80"/>
        </w:rPr>
        <w:t>14 вопрос</w:t>
      </w:r>
      <w:r w:rsidRPr="00810DB5">
        <w:rPr>
          <w:rFonts w:ascii="Arial" w:hAnsi="Arial"/>
          <w:color w:val="525252" w:themeColor="accent3" w:themeShade="80"/>
        </w:rPr>
        <w:t>ами</w:t>
      </w:r>
      <w:r w:rsidR="00C241BE" w:rsidRPr="00810DB5">
        <w:rPr>
          <w:rFonts w:ascii="Arial" w:hAnsi="Arial"/>
          <w:color w:val="525252" w:themeColor="accent3" w:themeShade="80"/>
        </w:rPr>
        <w:t xml:space="preserve">, </w:t>
      </w:r>
      <w:r w:rsidR="006F6B62" w:rsidRPr="00810DB5">
        <w:rPr>
          <w:rFonts w:ascii="Arial" w:hAnsi="Arial"/>
          <w:color w:val="525252" w:themeColor="accent3" w:themeShade="80"/>
        </w:rPr>
        <w:t xml:space="preserve">30 </w:t>
      </w:r>
      <w:proofErr w:type="spellStart"/>
      <w:r w:rsidR="00C241BE" w:rsidRPr="00810DB5">
        <w:rPr>
          <w:rFonts w:ascii="Arial" w:hAnsi="Arial"/>
          <w:color w:val="525252" w:themeColor="accent3" w:themeShade="80"/>
        </w:rPr>
        <w:t>подвопрос</w:t>
      </w:r>
      <w:r w:rsidR="006F6B62" w:rsidRPr="00810DB5">
        <w:rPr>
          <w:rFonts w:ascii="Arial" w:hAnsi="Arial"/>
          <w:color w:val="525252" w:themeColor="accent3" w:themeShade="80"/>
        </w:rPr>
        <w:t>ов</w:t>
      </w:r>
      <w:proofErr w:type="spellEnd"/>
      <w:r w:rsidR="00C241BE" w:rsidRPr="00810DB5">
        <w:rPr>
          <w:rFonts w:ascii="Arial" w:hAnsi="Arial"/>
          <w:color w:val="525252" w:themeColor="accent3" w:themeShade="80"/>
        </w:rPr>
        <w:t xml:space="preserve">, в том числе о поле, возрасте, брачном состоянии, этнической принадлежности и родном языке, грамотности, месте рождения и продолжительности постоянного проживания в месте переписи, о наличии физических недостатков, тяжких  </w:t>
      </w:r>
      <w:r w:rsidR="00C241BE" w:rsidRPr="00810DB5">
        <w:rPr>
          <w:rFonts w:ascii="Arial" w:hAnsi="Arial"/>
          <w:color w:val="525252" w:themeColor="accent3" w:themeShade="80"/>
        </w:rPr>
        <w:lastRenderedPageBreak/>
        <w:t>увечий   и   психических   заболеваний</w:t>
      </w:r>
      <w:r w:rsidR="00D27564" w:rsidRPr="00810DB5">
        <w:rPr>
          <w:rFonts w:ascii="Arial" w:hAnsi="Arial"/>
          <w:color w:val="525252" w:themeColor="accent3" w:themeShade="80"/>
        </w:rPr>
        <w:t xml:space="preserve"> (в связи с отсутствием других источников для суждения о численности этих групп)</w:t>
      </w:r>
      <w:r w:rsidR="00C241BE" w:rsidRPr="00810DB5">
        <w:rPr>
          <w:rFonts w:ascii="Arial" w:hAnsi="Arial"/>
          <w:color w:val="525252" w:themeColor="accent3" w:themeShade="80"/>
        </w:rPr>
        <w:t>.</w:t>
      </w:r>
      <w:proofErr w:type="gramEnd"/>
      <w:r w:rsidR="00C241BE" w:rsidRPr="00810DB5">
        <w:rPr>
          <w:rFonts w:ascii="Arial" w:hAnsi="Arial"/>
          <w:color w:val="525252" w:themeColor="accent3" w:themeShade="80"/>
        </w:rPr>
        <w:t xml:space="preserve"> Целая группа вопросов с </w:t>
      </w:r>
      <w:proofErr w:type="spellStart"/>
      <w:r w:rsidR="00C241BE" w:rsidRPr="00810DB5">
        <w:rPr>
          <w:rFonts w:ascii="Arial" w:hAnsi="Arial"/>
          <w:color w:val="525252" w:themeColor="accent3" w:themeShade="80"/>
        </w:rPr>
        <w:t>подвопросами</w:t>
      </w:r>
      <w:proofErr w:type="spellEnd"/>
      <w:r w:rsidR="00C241BE" w:rsidRPr="00810DB5">
        <w:rPr>
          <w:rFonts w:ascii="Arial" w:hAnsi="Arial"/>
          <w:color w:val="525252" w:themeColor="accent3" w:themeShade="80"/>
        </w:rPr>
        <w:t xml:space="preserve"> посвящалась характеристике главного и побочного занятий, социального положения, профессии и места работы. Для </w:t>
      </w:r>
      <w:proofErr w:type="spellStart"/>
      <w:r w:rsidR="00C241BE" w:rsidRPr="00810DB5">
        <w:rPr>
          <w:rFonts w:ascii="Arial" w:hAnsi="Arial"/>
          <w:color w:val="525252" w:themeColor="accent3" w:themeShade="80"/>
        </w:rPr>
        <w:t>неимеющих</w:t>
      </w:r>
      <w:proofErr w:type="spellEnd"/>
      <w:r w:rsidR="00C241BE" w:rsidRPr="00810DB5">
        <w:rPr>
          <w:rFonts w:ascii="Arial" w:hAnsi="Arial"/>
          <w:color w:val="525252" w:themeColor="accent3" w:themeShade="80"/>
        </w:rPr>
        <w:t xml:space="preserve"> занятия выяснялись источники средств существования. Для безработных предназначались вопросы о продолжительности безработицы и о прежнем занятии. Последнее </w:t>
      </w:r>
      <w:r w:rsidRPr="00810DB5">
        <w:rPr>
          <w:rFonts w:ascii="Arial" w:hAnsi="Arial"/>
          <w:color w:val="525252" w:themeColor="accent3" w:themeShade="80"/>
        </w:rPr>
        <w:t xml:space="preserve"> </w:t>
      </w:r>
      <w:r w:rsidR="00C241BE" w:rsidRPr="00810DB5">
        <w:rPr>
          <w:rFonts w:ascii="Arial" w:hAnsi="Arial"/>
          <w:color w:val="525252" w:themeColor="accent3" w:themeShade="80"/>
        </w:rPr>
        <w:t>требование имело в то время немалое значение: перепись показала наличие около 1 млн. безработных в стране.</w:t>
      </w:r>
    </w:p>
    <w:p w:rsidR="00C241BE" w:rsidRPr="00810DB5" w:rsidRDefault="00C241BE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>Семейная карта содержала более 20 вопросов, призванных охарактеризовать размер и состав семьи, а также ее жилищные условия.</w:t>
      </w:r>
    </w:p>
    <w:p w:rsidR="00810DB5" w:rsidRPr="00810DB5" w:rsidRDefault="00810DB5" w:rsidP="00810DB5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>Также были разработаны «Наставления о том, как писать ответы на вопросы личного листка», в которых подчеркивалось, что личные листки заполняются счетчиками со слов опрашиваемых. На основе этих наставлений опрашиваемые могли лично заполнить листки, после чего они проверялись счетчиками. В наставлениях указывалось, что «каждый может спокойно давать точные ответы на вопросы личного листка, так как ответы эти не будут использованы для каких-либо административных целей или для взимания налогов или сборов». Не требовалось каких-либо документов.</w:t>
      </w:r>
    </w:p>
    <w:p w:rsidR="009F5818" w:rsidRPr="00810DB5" w:rsidRDefault="009F5818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>Разработка материалов была закончена к 1 сентября 1928 года. Материалы переписи 1926 года были полностью опубликованы в 56 томах в 1928-1933 годах.</w:t>
      </w:r>
    </w:p>
    <w:p w:rsidR="00DF12CA" w:rsidRPr="00810DB5" w:rsidRDefault="00810DB5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>В данной</w:t>
      </w:r>
      <w:r w:rsidR="00C241BE" w:rsidRPr="00810DB5">
        <w:rPr>
          <w:rFonts w:ascii="Arial" w:hAnsi="Arial"/>
          <w:color w:val="525252" w:themeColor="accent3" w:themeShade="80"/>
        </w:rPr>
        <w:t xml:space="preserve"> </w:t>
      </w:r>
      <w:r>
        <w:rPr>
          <w:rFonts w:ascii="Arial" w:hAnsi="Arial"/>
          <w:color w:val="525252" w:themeColor="accent3" w:themeShade="80"/>
        </w:rPr>
        <w:t>публи</w:t>
      </w:r>
      <w:r w:rsidRPr="00810DB5">
        <w:rPr>
          <w:rFonts w:ascii="Arial" w:hAnsi="Arial"/>
          <w:color w:val="525252" w:themeColor="accent3" w:themeShade="80"/>
        </w:rPr>
        <w:t>кации</w:t>
      </w:r>
      <w:r w:rsidR="00C241BE" w:rsidRPr="00810DB5">
        <w:rPr>
          <w:rFonts w:ascii="Arial" w:hAnsi="Arial"/>
          <w:color w:val="525252" w:themeColor="accent3" w:themeShade="80"/>
        </w:rPr>
        <w:t xml:space="preserve"> приводятся основные показатели по административно-территориальному делению, численности, полу и возрасту, народности и владению языками, семейному положению, грамотности и занятиям населения республики. При составлении раздела был использован оригинал издания ЦСУ СССР «Всесоюзная перепись населения 1926 года» по Бурят-Монгольской АССР, изданный в 1929 году и хранящийся в фонде редких изданий Национальной библиотеки Республики Бурятия. </w:t>
      </w:r>
    </w:p>
    <w:p w:rsidR="009F5818" w:rsidRDefault="009F5818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  <w:r w:rsidRPr="00810DB5">
        <w:rPr>
          <w:rFonts w:ascii="Arial" w:hAnsi="Arial"/>
          <w:color w:val="525252" w:themeColor="accent3" w:themeShade="80"/>
        </w:rPr>
        <w:t>В ходе первой крупномасштабной советской переписи были получены самые подробные данные о населении</w:t>
      </w:r>
      <w:r w:rsidR="00C85944" w:rsidRPr="00810DB5">
        <w:rPr>
          <w:rFonts w:ascii="Arial" w:hAnsi="Arial"/>
          <w:color w:val="525252" w:themeColor="accent3" w:themeShade="80"/>
        </w:rPr>
        <w:t>, а</w:t>
      </w:r>
      <w:r w:rsidR="0022115C" w:rsidRPr="00810DB5">
        <w:rPr>
          <w:rFonts w:ascii="Arial" w:hAnsi="Arial"/>
          <w:color w:val="525252" w:themeColor="accent3" w:themeShade="80"/>
        </w:rPr>
        <w:t xml:space="preserve"> </w:t>
      </w:r>
      <w:r w:rsidRPr="00810DB5">
        <w:rPr>
          <w:rFonts w:ascii="Arial" w:hAnsi="Arial"/>
          <w:color w:val="525252" w:themeColor="accent3" w:themeShade="80"/>
        </w:rPr>
        <w:t xml:space="preserve">самые актуальные </w:t>
      </w:r>
      <w:r w:rsidR="0022115C" w:rsidRPr="00810DB5">
        <w:rPr>
          <w:rFonts w:ascii="Arial" w:hAnsi="Arial"/>
          <w:color w:val="525252" w:themeColor="accent3" w:themeShade="80"/>
        </w:rPr>
        <w:t xml:space="preserve">и более точные </w:t>
      </w:r>
      <w:r w:rsidRPr="00810DB5">
        <w:rPr>
          <w:rFonts w:ascii="Arial" w:hAnsi="Arial"/>
          <w:color w:val="525252" w:themeColor="accent3" w:themeShade="80"/>
        </w:rPr>
        <w:t xml:space="preserve">сведения мы получим </w:t>
      </w:r>
      <w:r w:rsidR="0022115C" w:rsidRPr="00810DB5">
        <w:rPr>
          <w:rFonts w:ascii="Arial" w:hAnsi="Arial"/>
          <w:color w:val="525252" w:themeColor="accent3" w:themeShade="80"/>
        </w:rPr>
        <w:t>благодаря</w:t>
      </w:r>
      <w:r w:rsidRPr="00810DB5">
        <w:rPr>
          <w:rFonts w:ascii="Arial" w:hAnsi="Arial"/>
          <w:color w:val="525252" w:themeColor="accent3" w:themeShade="80"/>
        </w:rPr>
        <w:t xml:space="preserve"> грядущей первой цифровой переп</w:t>
      </w:r>
      <w:r w:rsidR="0022115C" w:rsidRPr="00810DB5">
        <w:rPr>
          <w:rFonts w:ascii="Arial" w:hAnsi="Arial"/>
          <w:color w:val="525252" w:themeColor="accent3" w:themeShade="80"/>
        </w:rPr>
        <w:t>и</w:t>
      </w:r>
      <w:r w:rsidRPr="00810DB5">
        <w:rPr>
          <w:rFonts w:ascii="Arial" w:hAnsi="Arial"/>
          <w:color w:val="525252" w:themeColor="accent3" w:themeShade="80"/>
        </w:rPr>
        <w:t>си</w:t>
      </w:r>
      <w:r w:rsidR="0022115C" w:rsidRPr="00810DB5">
        <w:rPr>
          <w:rFonts w:ascii="Arial" w:hAnsi="Arial"/>
          <w:color w:val="525252" w:themeColor="accent3" w:themeShade="80"/>
        </w:rPr>
        <w:t xml:space="preserve"> населения.</w:t>
      </w:r>
    </w:p>
    <w:p w:rsidR="00D26100" w:rsidRDefault="00D26100" w:rsidP="009B5339">
      <w:pPr>
        <w:pStyle w:val="a7"/>
        <w:ind w:firstLine="709"/>
        <w:jc w:val="both"/>
        <w:rPr>
          <w:rFonts w:ascii="Arial" w:hAnsi="Arial"/>
          <w:color w:val="525252" w:themeColor="accent3" w:themeShade="80"/>
        </w:rPr>
      </w:pPr>
    </w:p>
    <w:p w:rsidR="00D26100" w:rsidRDefault="00D26100" w:rsidP="00D26100">
      <w:pPr>
        <w:pStyle w:val="a7"/>
        <w:jc w:val="both"/>
        <w:rPr>
          <w:rFonts w:ascii="Arial" w:hAnsi="Arial" w:cs="Arial"/>
          <w:i/>
          <w:color w:val="525252" w:themeColor="accent3" w:themeShade="80"/>
        </w:rPr>
      </w:pPr>
      <w:r w:rsidRPr="00B82EFA">
        <w:rPr>
          <w:rFonts w:ascii="Arial" w:hAnsi="Arial" w:cs="Arial"/>
          <w:i/>
          <w:color w:val="525252" w:themeColor="accent3" w:themeShade="80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D26100" w:rsidRDefault="00D26100" w:rsidP="00D26100">
      <w:pPr>
        <w:pStyle w:val="a7"/>
        <w:rPr>
          <w:rFonts w:ascii="Arial" w:hAnsi="Arial"/>
          <w:b/>
          <w:color w:val="595959" w:themeColor="text1" w:themeTint="A6"/>
        </w:rPr>
      </w:pPr>
    </w:p>
    <w:p w:rsidR="00D26100" w:rsidRDefault="00D26100" w:rsidP="00D26100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D26100" w:rsidRDefault="00C70344" w:rsidP="00D26100">
      <w:pPr>
        <w:pStyle w:val="a7"/>
        <w:rPr>
          <w:rFonts w:ascii="Arial" w:hAnsi="Arial"/>
          <w:color w:val="595959" w:themeColor="text1" w:themeTint="A6"/>
        </w:rPr>
      </w:pPr>
      <w:hyperlink r:id="rId12" w:history="1">
        <w:r w:rsidR="00D26100" w:rsidRPr="00367605">
          <w:rPr>
            <w:rStyle w:val="aa"/>
            <w:rFonts w:ascii="Arial" w:hAnsi="Arial"/>
          </w:rPr>
          <w:t>https://burstat.gks.ru</w:t>
        </w:r>
      </w:hyperlink>
    </w:p>
    <w:p w:rsidR="00D26100" w:rsidRPr="00B454F6" w:rsidRDefault="00D26100" w:rsidP="00D26100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D26100" w:rsidRPr="00B454F6" w:rsidRDefault="00D26100" w:rsidP="00D26100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D26100" w:rsidRPr="004B5579" w:rsidRDefault="00D26100" w:rsidP="00D26100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D26100" w:rsidRDefault="00D26100" w:rsidP="00D26100">
      <w:pPr>
        <w:pStyle w:val="a7"/>
        <w:rPr>
          <w:rFonts w:ascii="Arial" w:hAnsi="Arial"/>
          <w:b/>
          <w:color w:val="595959" w:themeColor="text1" w:themeTint="A6"/>
        </w:rPr>
      </w:pPr>
    </w:p>
    <w:p w:rsidR="00D26100" w:rsidRDefault="00D26100" w:rsidP="00D26100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сетях</w:t>
      </w:r>
    </w:p>
    <w:p w:rsidR="00D26100" w:rsidRDefault="00C70344" w:rsidP="00D26100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13" w:history="1">
        <w:r w:rsidR="00D26100" w:rsidRPr="00787233">
          <w:rPr>
            <w:rStyle w:val="aa"/>
            <w:rFonts w:ascii="Arial" w:hAnsi="Arial"/>
            <w:spacing w:val="-4"/>
          </w:rPr>
          <w:t>https://vk.com/</w:t>
        </w:r>
        <w:proofErr w:type="spellStart"/>
        <w:r w:rsidR="00D26100" w:rsidRPr="00787233">
          <w:rPr>
            <w:rStyle w:val="aa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D26100" w:rsidRDefault="00C70344" w:rsidP="00D26100">
      <w:pPr>
        <w:pStyle w:val="a7"/>
        <w:rPr>
          <w:rFonts w:ascii="Arial" w:hAnsi="Arial"/>
          <w:color w:val="595959" w:themeColor="text1" w:themeTint="A6"/>
        </w:rPr>
      </w:pPr>
      <w:hyperlink r:id="rId14" w:history="1">
        <w:r w:rsidR="00D26100" w:rsidRPr="00367605">
          <w:rPr>
            <w:rStyle w:val="aa"/>
            <w:rFonts w:ascii="Arial" w:hAnsi="Arial"/>
            <w:spacing w:val="-4"/>
          </w:rPr>
          <w:t>https://www.instagram.com/burstat/</w:t>
        </w:r>
      </w:hyperlink>
    </w:p>
    <w:sectPr w:rsidR="00D26100" w:rsidSect="00D26100">
      <w:headerReference w:type="default" r:id="rId15"/>
      <w:footerReference w:type="even" r:id="rId16"/>
      <w:footerReference w:type="default" r:id="rId17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20" w:rsidRDefault="003B5120" w:rsidP="00164B35">
      <w:r>
        <w:separator/>
      </w:r>
    </w:p>
  </w:endnote>
  <w:endnote w:type="continuationSeparator" w:id="0">
    <w:p w:rsidR="003B5120" w:rsidRDefault="003B5120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70344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20" w:rsidRDefault="003B5120" w:rsidP="00164B35">
      <w:r>
        <w:separator/>
      </w:r>
    </w:p>
  </w:footnote>
  <w:footnote w:type="continuationSeparator" w:id="0">
    <w:p w:rsidR="003B5120" w:rsidRDefault="003B5120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934CCD3" wp14:editId="69A28E1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C241BE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1pt;height:14.95pt;visibility:visible;mso-wrap-style:square" o:bullet="t">
        <v:imagedata r:id="rId1" o:title=""/>
      </v:shape>
    </w:pict>
  </w:numPicBullet>
  <w:numPicBullet w:numPicBulletId="1">
    <w:pict>
      <v:shape id="_x0000_i1027" type="#_x0000_t75" style="width:342.9pt;height:143.3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22418"/>
    <w:rsid w:val="00084841"/>
    <w:rsid w:val="00141AF3"/>
    <w:rsid w:val="00164B35"/>
    <w:rsid w:val="002128BC"/>
    <w:rsid w:val="0022115C"/>
    <w:rsid w:val="00282378"/>
    <w:rsid w:val="002E41D1"/>
    <w:rsid w:val="00311D24"/>
    <w:rsid w:val="00344324"/>
    <w:rsid w:val="003616CE"/>
    <w:rsid w:val="003839F7"/>
    <w:rsid w:val="003B5120"/>
    <w:rsid w:val="003C7D61"/>
    <w:rsid w:val="003F1588"/>
    <w:rsid w:val="00465F00"/>
    <w:rsid w:val="004C7752"/>
    <w:rsid w:val="004E0306"/>
    <w:rsid w:val="0051192A"/>
    <w:rsid w:val="005F3555"/>
    <w:rsid w:val="006F6B62"/>
    <w:rsid w:val="00722121"/>
    <w:rsid w:val="00810DB5"/>
    <w:rsid w:val="00893C55"/>
    <w:rsid w:val="00941177"/>
    <w:rsid w:val="00943DF7"/>
    <w:rsid w:val="009542B2"/>
    <w:rsid w:val="009B5339"/>
    <w:rsid w:val="009F5818"/>
    <w:rsid w:val="00A44D17"/>
    <w:rsid w:val="00A53F62"/>
    <w:rsid w:val="00A547E9"/>
    <w:rsid w:val="00A733B9"/>
    <w:rsid w:val="00AB2AEC"/>
    <w:rsid w:val="00B01803"/>
    <w:rsid w:val="00B70376"/>
    <w:rsid w:val="00BC3A7C"/>
    <w:rsid w:val="00BD5523"/>
    <w:rsid w:val="00C16240"/>
    <w:rsid w:val="00C241BE"/>
    <w:rsid w:val="00C452DE"/>
    <w:rsid w:val="00C70344"/>
    <w:rsid w:val="00C85944"/>
    <w:rsid w:val="00CC6AB0"/>
    <w:rsid w:val="00D027C7"/>
    <w:rsid w:val="00D15C86"/>
    <w:rsid w:val="00D26100"/>
    <w:rsid w:val="00D27564"/>
    <w:rsid w:val="00DD1096"/>
    <w:rsid w:val="00DF12CA"/>
    <w:rsid w:val="00E12450"/>
    <w:rsid w:val="00EA08E1"/>
    <w:rsid w:val="00EC6272"/>
    <w:rsid w:val="00F14868"/>
    <w:rsid w:val="00F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D2610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D261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urst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urstat.gks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instagram.com/burst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A6390-7EA7-4B20-A56B-589D6020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Дригенова Инесса Ивановна</cp:lastModifiedBy>
  <cp:revision>2</cp:revision>
  <cp:lastPrinted>2020-05-25T08:59:00Z</cp:lastPrinted>
  <dcterms:created xsi:type="dcterms:W3CDTF">2020-05-25T09:46:00Z</dcterms:created>
  <dcterms:modified xsi:type="dcterms:W3CDTF">2020-05-25T09:46:00Z</dcterms:modified>
</cp:coreProperties>
</file>