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3A" w:rsidRPr="007A3C3A" w:rsidRDefault="007A3C3A" w:rsidP="007A3C3A">
      <w:pPr>
        <w:shd w:val="clear" w:color="auto" w:fill="F4F4F4"/>
        <w:spacing w:after="975" w:line="780" w:lineRule="atLeast"/>
        <w:outlineLvl w:val="0"/>
        <w:rPr>
          <w:rFonts w:ascii="Circe" w:eastAsia="Times New Roman" w:hAnsi="Circe" w:cs="Times New Roman"/>
          <w:b/>
          <w:bCs/>
          <w:color w:val="000000"/>
          <w:kern w:val="36"/>
          <w:sz w:val="68"/>
          <w:szCs w:val="68"/>
          <w:lang w:eastAsia="ru-RU"/>
        </w:rPr>
      </w:pPr>
      <w:r w:rsidRPr="007A3C3A">
        <w:rPr>
          <w:rFonts w:ascii="Circe" w:eastAsia="Times New Roman" w:hAnsi="Circe" w:cs="Times New Roman"/>
          <w:b/>
          <w:bCs/>
          <w:color w:val="000000"/>
          <w:kern w:val="36"/>
          <w:sz w:val="68"/>
          <w:szCs w:val="68"/>
          <w:lang w:eastAsia="ru-RU"/>
        </w:rPr>
        <w:t>Начался приём заявок на гранты за простои в нерабочие дни</w:t>
      </w:r>
    </w:p>
    <w:p w:rsidR="007A3C3A" w:rsidRPr="007A3C3A" w:rsidRDefault="007A3C3A" w:rsidP="007A3C3A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b/>
          <w:bCs/>
          <w:color w:val="000000"/>
          <w:sz w:val="33"/>
          <w:szCs w:val="33"/>
          <w:lang w:eastAsia="ru-RU"/>
        </w:rPr>
        <w:t>Налоговые органы будут принимать заявления с 1 ноября по 15 декабря 2021 года. Рассказываем подробно об условиях.</w:t>
      </w:r>
    </w:p>
    <w:p w:rsidR="007A3C3A" w:rsidRPr="007A3C3A" w:rsidRDefault="007A3C3A" w:rsidP="007A3C3A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>
        <w:rPr>
          <w:rFonts w:ascii="Circe" w:eastAsia="Times New Roman" w:hAnsi="Circe" w:cs="Times New Roman"/>
          <w:noProof/>
          <w:color w:val="000000"/>
          <w:sz w:val="33"/>
          <w:szCs w:val="33"/>
          <w:lang w:eastAsia="ru-RU"/>
        </w:rPr>
        <w:drawing>
          <wp:inline distT="0" distB="0" distL="0" distR="0">
            <wp:extent cx="7877175" cy="4429125"/>
            <wp:effectExtent l="19050" t="0" r="9525" b="0"/>
            <wp:docPr id="1" name="Рисунок 1" descr="Начался приём заявок на гранты за простои в нерабочие д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чался приём заявок на гранты за простои в нерабочие д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br/>
      </w:r>
    </w:p>
    <w:p w:rsidR="007A3C3A" w:rsidRPr="007A3C3A" w:rsidRDefault="007A3C3A" w:rsidP="007A3C3A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В </w:t>
      </w:r>
      <w:hyperlink r:id="rId6" w:tgtFrame="_blank" w:history="1">
        <w:r w:rsidRPr="007A3C3A">
          <w:rPr>
            <w:rFonts w:ascii="Circe" w:eastAsia="Times New Roman" w:hAnsi="Circe" w:cs="Times New Roman"/>
            <w:b/>
            <w:bCs/>
            <w:color w:val="000000"/>
            <w:sz w:val="33"/>
            <w:lang w:eastAsia="ru-RU"/>
          </w:rPr>
          <w:t>Постановлении Правительства №1849 от 28 октября 2021 г.</w:t>
        </w:r>
      </w:hyperlink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 xml:space="preserve">, которым вносятся изменения в Постановление Правительства №1513, прописаны два вида грантов. Один – за нерабочие дни (которые ввёл президент). Об условиях его получения пойдёт </w:t>
      </w: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lastRenderedPageBreak/>
        <w:t xml:space="preserve">речь ниже. Второй – так называемая «субсидия на карантин». Во втором случае можно получить </w:t>
      </w:r>
      <w:proofErr w:type="spellStart"/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грантовые</w:t>
      </w:r>
      <w:proofErr w:type="spellEnd"/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 xml:space="preserve"> деньги, если в вашем регионе будет введён карантин, – туда будут попадать перечисленные ниже 21 </w:t>
      </w:r>
      <w:proofErr w:type="gramStart"/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ОКВЭД</w:t>
      </w:r>
      <w:proofErr w:type="gramEnd"/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 xml:space="preserve"> и добавятся ещё 7 ОКВЭД из группы 47*. Об этом расскажем отдельно позже.</w:t>
      </w:r>
    </w:p>
    <w:p w:rsidR="007A3C3A" w:rsidRPr="007A3C3A" w:rsidRDefault="007A3C3A" w:rsidP="007A3C3A">
      <w:pPr>
        <w:shd w:val="clear" w:color="auto" w:fill="ECECEC"/>
        <w:spacing w:before="600" w:after="0" w:line="420" w:lineRule="atLeast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* Сейчас вся группа 47 (а это сфера оптовой и розничной торговли) получить грант не может.</w:t>
      </w:r>
    </w:p>
    <w:p w:rsidR="007A3C3A" w:rsidRPr="007A3C3A" w:rsidRDefault="007A3C3A" w:rsidP="007A3C3A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br/>
      </w:r>
    </w:p>
    <w:p w:rsidR="007A3C3A" w:rsidRPr="007A3C3A" w:rsidRDefault="007A3C3A" w:rsidP="007A3C3A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b/>
          <w:bCs/>
          <w:color w:val="000000"/>
          <w:sz w:val="33"/>
          <w:szCs w:val="33"/>
          <w:lang w:eastAsia="ru-RU"/>
        </w:rPr>
        <w:t>Кто может рассчитывать на меру поддержки?</w:t>
      </w:r>
    </w:p>
    <w:p w:rsidR="007A3C3A" w:rsidRPr="007A3C3A" w:rsidRDefault="007A3C3A" w:rsidP="007A3C3A">
      <w:pPr>
        <w:numPr>
          <w:ilvl w:val="0"/>
          <w:numId w:val="1"/>
        </w:numPr>
        <w:shd w:val="clear" w:color="auto" w:fill="F4F4F4"/>
        <w:spacing w:after="0" w:line="480" w:lineRule="atLeast"/>
        <w:ind w:left="0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Малый и средний бизнес (в том числе реализующий подакцизные товары);</w:t>
      </w:r>
    </w:p>
    <w:p w:rsidR="007A3C3A" w:rsidRPr="007A3C3A" w:rsidRDefault="007A3C3A" w:rsidP="007A3C3A">
      <w:pPr>
        <w:numPr>
          <w:ilvl w:val="0"/>
          <w:numId w:val="1"/>
        </w:numPr>
        <w:shd w:val="clear" w:color="auto" w:fill="F4F4F4"/>
        <w:spacing w:after="0" w:line="480" w:lineRule="atLeast"/>
        <w:ind w:left="0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Индивидуальные предприниматели (в том числе без наёмных работников);</w:t>
      </w:r>
    </w:p>
    <w:p w:rsidR="007A3C3A" w:rsidRPr="007A3C3A" w:rsidRDefault="007A3C3A" w:rsidP="007A3C3A">
      <w:pPr>
        <w:numPr>
          <w:ilvl w:val="0"/>
          <w:numId w:val="1"/>
        </w:numPr>
        <w:shd w:val="clear" w:color="auto" w:fill="F4F4F4"/>
        <w:spacing w:after="0" w:line="480" w:lineRule="atLeast"/>
        <w:ind w:left="0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Социально ориентированные некоммерческие организации.</w:t>
      </w:r>
    </w:p>
    <w:p w:rsidR="007A3C3A" w:rsidRPr="007A3C3A" w:rsidRDefault="007A3C3A" w:rsidP="007A3C3A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</w:p>
    <w:p w:rsidR="007A3C3A" w:rsidRPr="007A3C3A" w:rsidRDefault="007A3C3A" w:rsidP="007A3C3A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b/>
          <w:bCs/>
          <w:color w:val="000000"/>
          <w:sz w:val="33"/>
          <w:szCs w:val="33"/>
          <w:lang w:eastAsia="ru-RU"/>
        </w:rPr>
        <w:t>Как получить субсидию?</w:t>
      </w:r>
    </w:p>
    <w:p w:rsidR="007A3C3A" w:rsidRPr="007A3C3A" w:rsidRDefault="007A3C3A" w:rsidP="007A3C3A">
      <w:pPr>
        <w:numPr>
          <w:ilvl w:val="0"/>
          <w:numId w:val="2"/>
        </w:numPr>
        <w:shd w:val="clear" w:color="auto" w:fill="F4F4F4"/>
        <w:spacing w:after="0" w:line="480" w:lineRule="atLeast"/>
        <w:ind w:left="0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Компании и ИП должны быть включены в реестр МСП по состоянию на 10 июля 2021 года (проверить можно </w:t>
      </w:r>
      <w:hyperlink r:id="rId7" w:tgtFrame="_blank" w:history="1">
        <w:r w:rsidRPr="007A3C3A">
          <w:rPr>
            <w:rFonts w:ascii="Circe" w:eastAsia="Times New Roman" w:hAnsi="Circe" w:cs="Times New Roman"/>
            <w:b/>
            <w:bCs/>
            <w:color w:val="000000"/>
            <w:sz w:val="33"/>
            <w:lang w:eastAsia="ru-RU"/>
          </w:rPr>
          <w:t>тут</w:t>
        </w:r>
      </w:hyperlink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).</w:t>
      </w:r>
    </w:p>
    <w:p w:rsidR="007A3C3A" w:rsidRPr="007A3C3A" w:rsidRDefault="007A3C3A" w:rsidP="007A3C3A">
      <w:pPr>
        <w:numPr>
          <w:ilvl w:val="0"/>
          <w:numId w:val="2"/>
        </w:numPr>
        <w:shd w:val="clear" w:color="auto" w:fill="F4F4F4"/>
        <w:spacing w:after="0" w:line="480" w:lineRule="atLeast"/>
        <w:ind w:left="0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Если вы НКО, то должны быть </w:t>
      </w:r>
      <w:hyperlink r:id="rId8" w:tgtFrame="_blank" w:history="1">
        <w:r w:rsidRPr="007A3C3A">
          <w:rPr>
            <w:rFonts w:ascii="Circe" w:eastAsia="Times New Roman" w:hAnsi="Circe" w:cs="Times New Roman"/>
            <w:b/>
            <w:bCs/>
            <w:color w:val="000000"/>
            <w:sz w:val="33"/>
            <w:lang w:eastAsia="ru-RU"/>
          </w:rPr>
          <w:t>включены в реестр</w:t>
        </w:r>
      </w:hyperlink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 Минэкономразвития по состоянию на 1 июля 2021 года (Постановления №847, №906).</w:t>
      </w:r>
    </w:p>
    <w:p w:rsidR="007A3C3A" w:rsidRPr="007A3C3A" w:rsidRDefault="007A3C3A" w:rsidP="007A3C3A">
      <w:pPr>
        <w:numPr>
          <w:ilvl w:val="0"/>
          <w:numId w:val="2"/>
        </w:numPr>
        <w:shd w:val="clear" w:color="auto" w:fill="F4F4F4"/>
        <w:spacing w:after="0" w:line="480" w:lineRule="atLeast"/>
        <w:ind w:left="0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ОКВЭД ИП или компании должен входить в актуальный перечень пострадавших отраслей. Сейчас для получения гранта их 21, среди них – физкультурно-оздоровительные услуги, дополнительное образование для детей и взрослых, деятельность зоопарков, кинотеатров, развлекательных учреждений, музеев, стоматологических кабинетов, парикмахерских и салонов красоты.</w:t>
      </w:r>
    </w:p>
    <w:p w:rsidR="007A3C3A" w:rsidRPr="007A3C3A" w:rsidRDefault="007A3C3A" w:rsidP="007A3C3A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lastRenderedPageBreak/>
        <w:br/>
      </w:r>
    </w:p>
    <w:p w:rsidR="007A3C3A" w:rsidRPr="007A3C3A" w:rsidRDefault="007A3C3A" w:rsidP="007A3C3A">
      <w:pPr>
        <w:shd w:val="clear" w:color="auto" w:fill="F4F4F4"/>
        <w:spacing w:after="0" w:line="480" w:lineRule="atLeast"/>
        <w:jc w:val="center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hyperlink r:id="rId9" w:tgtFrame="_blank" w:history="1">
        <w:r w:rsidRPr="007A3C3A">
          <w:rPr>
            <w:rFonts w:ascii="Circe" w:eastAsia="Times New Roman" w:hAnsi="Circe" w:cs="Times New Roman"/>
            <w:b/>
            <w:bCs/>
            <w:color w:val="000000"/>
            <w:sz w:val="33"/>
            <w:lang w:eastAsia="ru-RU"/>
          </w:rPr>
          <w:t>Посмотреть список ОКВЭД</w:t>
        </w:r>
      </w:hyperlink>
    </w:p>
    <w:p w:rsidR="007A3C3A" w:rsidRPr="007A3C3A" w:rsidRDefault="007A3C3A" w:rsidP="007A3C3A">
      <w:pPr>
        <w:shd w:val="clear" w:color="auto" w:fill="ECECEC"/>
        <w:spacing w:after="75" w:line="600" w:lineRule="atLeast"/>
        <w:rPr>
          <w:rFonts w:ascii="Circe" w:eastAsia="Times New Roman" w:hAnsi="Circe" w:cs="Times New Roman"/>
          <w:b/>
          <w:bCs/>
          <w:color w:val="000000"/>
          <w:sz w:val="42"/>
          <w:szCs w:val="42"/>
          <w:lang w:eastAsia="ru-RU"/>
        </w:rPr>
      </w:pPr>
      <w:r w:rsidRPr="007A3C3A">
        <w:rPr>
          <w:rFonts w:ascii="Circe" w:eastAsia="Times New Roman" w:hAnsi="Circe" w:cs="Times New Roman"/>
          <w:b/>
          <w:bCs/>
          <w:color w:val="000000"/>
          <w:sz w:val="42"/>
          <w:szCs w:val="42"/>
          <w:lang w:eastAsia="ru-RU"/>
        </w:rPr>
        <w:t>ВАЖНО</w:t>
      </w:r>
    </w:p>
    <w:p w:rsidR="007A3C3A" w:rsidRPr="007A3C3A" w:rsidRDefault="007A3C3A" w:rsidP="007A3C3A">
      <w:pPr>
        <w:shd w:val="clear" w:color="auto" w:fill="ECECEC"/>
        <w:spacing w:after="0" w:line="420" w:lineRule="atLeast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Субсидия предоставляется только по основному ОКВЭД.</w:t>
      </w:r>
    </w:p>
    <w:p w:rsidR="007A3C3A" w:rsidRPr="007A3C3A" w:rsidRDefault="007A3C3A" w:rsidP="007A3C3A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br/>
      </w:r>
    </w:p>
    <w:p w:rsidR="007A3C3A" w:rsidRPr="007A3C3A" w:rsidRDefault="007A3C3A" w:rsidP="007A3C3A">
      <w:pPr>
        <w:numPr>
          <w:ilvl w:val="0"/>
          <w:numId w:val="3"/>
        </w:numPr>
        <w:shd w:val="clear" w:color="auto" w:fill="F4F4F4"/>
        <w:spacing w:after="0" w:line="480" w:lineRule="atLeast"/>
        <w:ind w:left="0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Компания не должна находиться в процессе ликвидации или банкротства, а ИП не должен прекратить деятельность в качестве ИП и не должен быть снят с учёта.</w:t>
      </w:r>
    </w:p>
    <w:p w:rsidR="007A3C3A" w:rsidRPr="007A3C3A" w:rsidRDefault="007A3C3A" w:rsidP="007A3C3A">
      <w:pPr>
        <w:numPr>
          <w:ilvl w:val="0"/>
          <w:numId w:val="3"/>
        </w:numPr>
        <w:shd w:val="clear" w:color="auto" w:fill="F4F4F4"/>
        <w:spacing w:after="0" w:line="480" w:lineRule="atLeast"/>
        <w:ind w:left="0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Задолженность ИП и компаний по налогам и страховым взносам на 1 июля 2021 года не должна превышать 3 тыс. рублей.</w:t>
      </w:r>
    </w:p>
    <w:p w:rsidR="007A3C3A" w:rsidRPr="007A3C3A" w:rsidRDefault="007A3C3A" w:rsidP="007A3C3A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br/>
      </w:r>
    </w:p>
    <w:p w:rsidR="007A3C3A" w:rsidRPr="007A3C3A" w:rsidRDefault="007A3C3A" w:rsidP="007A3C3A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b/>
          <w:bCs/>
          <w:color w:val="000000"/>
          <w:sz w:val="33"/>
          <w:szCs w:val="33"/>
          <w:lang w:eastAsia="ru-RU"/>
        </w:rPr>
        <w:t>Максимальная сумма гранта</w:t>
      </w:r>
    </w:p>
    <w:p w:rsidR="007A3C3A" w:rsidRPr="007A3C3A" w:rsidRDefault="007A3C3A" w:rsidP="007A3C3A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Получить деньги можно за каждого сотрудника, а если вы ИП, то ещё и на самого себя. Если вы ИП без сотрудников, то только на самого себя.</w:t>
      </w:r>
    </w:p>
    <w:p w:rsidR="007A3C3A" w:rsidRPr="007A3C3A" w:rsidRDefault="007A3C3A" w:rsidP="007A3C3A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br/>
      </w:r>
    </w:p>
    <w:p w:rsidR="007A3C3A" w:rsidRPr="007A3C3A" w:rsidRDefault="007A3C3A" w:rsidP="007A3C3A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Размер субсидии будет рассчитываться по формуле, количество работников определяется на основании данных налоговой отчётности по форме «Расчёт по страховым взносам» (раздел 3):</w:t>
      </w:r>
    </w:p>
    <w:p w:rsidR="007A3C3A" w:rsidRPr="007A3C3A" w:rsidRDefault="007A3C3A" w:rsidP="007A3C3A">
      <w:pPr>
        <w:numPr>
          <w:ilvl w:val="0"/>
          <w:numId w:val="4"/>
        </w:numPr>
        <w:shd w:val="clear" w:color="auto" w:fill="F4F4F4"/>
        <w:spacing w:after="0" w:line="480" w:lineRule="atLeast"/>
        <w:ind w:left="0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 xml:space="preserve">Для </w:t>
      </w:r>
      <w:proofErr w:type="spellStart"/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организаций</w:t>
      </w:r>
      <w:proofErr w:type="gramStart"/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:к</w:t>
      </w:r>
      <w:proofErr w:type="gramEnd"/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оличество</w:t>
      </w:r>
      <w:proofErr w:type="spellEnd"/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 xml:space="preserve"> работников в июне 2021 года </w:t>
      </w:r>
      <w:proofErr w:type="spellStart"/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х</w:t>
      </w:r>
      <w:proofErr w:type="spellEnd"/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 xml:space="preserve"> 1 МРОТ (12 792 руб.).</w:t>
      </w:r>
    </w:p>
    <w:p w:rsidR="007A3C3A" w:rsidRPr="007A3C3A" w:rsidRDefault="007A3C3A" w:rsidP="007A3C3A">
      <w:pPr>
        <w:numPr>
          <w:ilvl w:val="0"/>
          <w:numId w:val="4"/>
        </w:numPr>
        <w:shd w:val="clear" w:color="auto" w:fill="F4F4F4"/>
        <w:spacing w:after="0" w:line="480" w:lineRule="atLeast"/>
        <w:ind w:left="0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 xml:space="preserve">Для индивидуальных предпринимателей: (количество работников в июне 2021 года* + 1) </w:t>
      </w:r>
      <w:proofErr w:type="spellStart"/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х</w:t>
      </w:r>
      <w:proofErr w:type="spellEnd"/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 xml:space="preserve"> 1 МРОТ (12 792 руб.).</w:t>
      </w:r>
    </w:p>
    <w:p w:rsidR="007A3C3A" w:rsidRPr="007A3C3A" w:rsidRDefault="007A3C3A" w:rsidP="007A3C3A">
      <w:pPr>
        <w:numPr>
          <w:ilvl w:val="0"/>
          <w:numId w:val="4"/>
        </w:numPr>
        <w:shd w:val="clear" w:color="auto" w:fill="F4F4F4"/>
        <w:spacing w:after="0" w:line="480" w:lineRule="atLeast"/>
        <w:ind w:left="0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Для индивидуальных предпринимателей без наемных работников: размер субсидии равен 12 792 руб.</w:t>
      </w:r>
    </w:p>
    <w:p w:rsidR="007A3C3A" w:rsidRPr="007A3C3A" w:rsidRDefault="007A3C3A" w:rsidP="007A3C3A">
      <w:pPr>
        <w:shd w:val="clear" w:color="auto" w:fill="ECECEC"/>
        <w:spacing w:after="75" w:line="600" w:lineRule="atLeast"/>
        <w:rPr>
          <w:rFonts w:ascii="Circe" w:eastAsia="Times New Roman" w:hAnsi="Circe" w:cs="Times New Roman"/>
          <w:b/>
          <w:bCs/>
          <w:color w:val="000000"/>
          <w:sz w:val="42"/>
          <w:szCs w:val="42"/>
          <w:lang w:eastAsia="ru-RU"/>
        </w:rPr>
      </w:pPr>
      <w:r w:rsidRPr="007A3C3A">
        <w:rPr>
          <w:rFonts w:ascii="Circe" w:eastAsia="Times New Roman" w:hAnsi="Circe" w:cs="Times New Roman"/>
          <w:b/>
          <w:bCs/>
          <w:color w:val="000000"/>
          <w:sz w:val="42"/>
          <w:szCs w:val="42"/>
          <w:lang w:eastAsia="ru-RU"/>
        </w:rPr>
        <w:lastRenderedPageBreak/>
        <w:t>ВАЖНО</w:t>
      </w:r>
    </w:p>
    <w:p w:rsidR="007A3C3A" w:rsidRPr="007A3C3A" w:rsidRDefault="007A3C3A" w:rsidP="007A3C3A">
      <w:pPr>
        <w:shd w:val="clear" w:color="auto" w:fill="ECECEC"/>
        <w:spacing w:after="0" w:line="420" w:lineRule="atLeast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С гранта не нужно платить налоги. Если решите направить деньги на зарплату сотрудникам – не нужно платить взносы и НДФЛ.</w:t>
      </w:r>
    </w:p>
    <w:p w:rsidR="007A3C3A" w:rsidRPr="007A3C3A" w:rsidRDefault="007A3C3A" w:rsidP="007A3C3A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br/>
      </w:r>
    </w:p>
    <w:p w:rsidR="007A3C3A" w:rsidRPr="007A3C3A" w:rsidRDefault="007A3C3A" w:rsidP="007A3C3A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b/>
          <w:bCs/>
          <w:color w:val="000000"/>
          <w:sz w:val="33"/>
          <w:szCs w:val="33"/>
          <w:lang w:eastAsia="ru-RU"/>
        </w:rPr>
        <w:t>Как сдавать отчётность?</w:t>
      </w:r>
    </w:p>
    <w:p w:rsidR="007A3C3A" w:rsidRPr="007A3C3A" w:rsidRDefault="007A3C3A" w:rsidP="007A3C3A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Расходы, которые произведены за счёт этих субсидий, не учитываются в базе по налогу на прибыль. Основание – </w:t>
      </w:r>
      <w:hyperlink r:id="rId10" w:tgtFrame="_blank" w:history="1">
        <w:r w:rsidRPr="007A3C3A">
          <w:rPr>
            <w:rFonts w:ascii="Circe" w:eastAsia="Times New Roman" w:hAnsi="Circe" w:cs="Times New Roman"/>
            <w:b/>
            <w:bCs/>
            <w:color w:val="000000"/>
            <w:sz w:val="33"/>
            <w:lang w:eastAsia="ru-RU"/>
          </w:rPr>
          <w:t>121-ФЗ</w:t>
        </w:r>
      </w:hyperlink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.</w:t>
      </w:r>
    </w:p>
    <w:p w:rsidR="007A3C3A" w:rsidRPr="007A3C3A" w:rsidRDefault="007A3C3A" w:rsidP="007A3C3A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br/>
      </w:r>
    </w:p>
    <w:p w:rsidR="007A3C3A" w:rsidRPr="007A3C3A" w:rsidRDefault="007A3C3A" w:rsidP="007A3C3A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b/>
          <w:bCs/>
          <w:color w:val="000000"/>
          <w:sz w:val="33"/>
          <w:szCs w:val="33"/>
          <w:lang w:eastAsia="ru-RU"/>
        </w:rPr>
        <w:t>Куда подавать заявление на субсидию?</w:t>
      </w:r>
    </w:p>
    <w:p w:rsidR="007A3C3A" w:rsidRPr="007A3C3A" w:rsidRDefault="007A3C3A" w:rsidP="007A3C3A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С помощью специального сервиса на сайте ФНС России можно самостоятельно проверить, подходите ли вы под критерии для получения гранта. Для этого достаточно ввести ИНН. Там же можно сформировать и направить заявление.</w:t>
      </w:r>
    </w:p>
    <w:p w:rsidR="007A3C3A" w:rsidRPr="007A3C3A" w:rsidRDefault="007A3C3A" w:rsidP="007A3C3A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br/>
      </w:r>
    </w:p>
    <w:p w:rsidR="007A3C3A" w:rsidRPr="007A3C3A" w:rsidRDefault="007A3C3A" w:rsidP="007A3C3A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hyperlink r:id="rId11" w:tgtFrame="_blank" w:history="1">
        <w:r w:rsidRPr="007A3C3A">
          <w:rPr>
            <w:rFonts w:ascii="Circe" w:eastAsia="Times New Roman" w:hAnsi="Circe" w:cs="Times New Roman"/>
            <w:b/>
            <w:bCs/>
            <w:color w:val="000000"/>
            <w:sz w:val="33"/>
            <w:lang w:eastAsia="ru-RU"/>
          </w:rPr>
          <w:t>Подать заявку и проверить условия</w:t>
        </w:r>
      </w:hyperlink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:</w:t>
      </w:r>
    </w:p>
    <w:p w:rsidR="007A3C3A" w:rsidRPr="007A3C3A" w:rsidRDefault="007A3C3A" w:rsidP="007A3C3A">
      <w:pPr>
        <w:numPr>
          <w:ilvl w:val="0"/>
          <w:numId w:val="5"/>
        </w:numPr>
        <w:shd w:val="clear" w:color="auto" w:fill="F4F4F4"/>
        <w:spacing w:after="0" w:line="480" w:lineRule="atLeast"/>
        <w:ind w:left="0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Заявление можно заполнить в электронном виде:</w:t>
      </w:r>
    </w:p>
    <w:p w:rsidR="007A3C3A" w:rsidRPr="007A3C3A" w:rsidRDefault="007A3C3A" w:rsidP="007A3C3A">
      <w:pPr>
        <w:numPr>
          <w:ilvl w:val="1"/>
          <w:numId w:val="5"/>
        </w:numPr>
        <w:shd w:val="clear" w:color="auto" w:fill="F4F4F4"/>
        <w:spacing w:after="0" w:line="480" w:lineRule="atLeast"/>
        <w:ind w:left="0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через </w:t>
      </w:r>
      <w:hyperlink r:id="rId12" w:anchor="!/login" w:tgtFrame="_blank" w:history="1">
        <w:r w:rsidRPr="007A3C3A">
          <w:rPr>
            <w:rFonts w:ascii="Circe" w:eastAsia="Times New Roman" w:hAnsi="Circe" w:cs="Times New Roman"/>
            <w:b/>
            <w:bCs/>
            <w:color w:val="000000"/>
            <w:sz w:val="33"/>
            <w:lang w:eastAsia="ru-RU"/>
          </w:rPr>
          <w:t>личный кабинет ИП</w:t>
        </w:r>
      </w:hyperlink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;</w:t>
      </w:r>
    </w:p>
    <w:p w:rsidR="007A3C3A" w:rsidRPr="007A3C3A" w:rsidRDefault="007A3C3A" w:rsidP="007A3C3A">
      <w:pPr>
        <w:numPr>
          <w:ilvl w:val="1"/>
          <w:numId w:val="5"/>
        </w:numPr>
        <w:shd w:val="clear" w:color="auto" w:fill="F4F4F4"/>
        <w:spacing w:after="0" w:line="480" w:lineRule="atLeast"/>
        <w:ind w:left="0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через </w:t>
      </w:r>
      <w:hyperlink r:id="rId13" w:tgtFrame="_blank" w:history="1">
        <w:r w:rsidRPr="007A3C3A">
          <w:rPr>
            <w:rFonts w:ascii="Circe" w:eastAsia="Times New Roman" w:hAnsi="Circe" w:cs="Times New Roman"/>
            <w:b/>
            <w:bCs/>
            <w:color w:val="000000"/>
            <w:sz w:val="33"/>
            <w:lang w:eastAsia="ru-RU"/>
          </w:rPr>
          <w:t xml:space="preserve">личный кабинет </w:t>
        </w:r>
        <w:proofErr w:type="spellStart"/>
        <w:r w:rsidRPr="007A3C3A">
          <w:rPr>
            <w:rFonts w:ascii="Circe" w:eastAsia="Times New Roman" w:hAnsi="Circe" w:cs="Times New Roman"/>
            <w:b/>
            <w:bCs/>
            <w:color w:val="000000"/>
            <w:sz w:val="33"/>
            <w:lang w:eastAsia="ru-RU"/>
          </w:rPr>
          <w:t>юрлица</w:t>
        </w:r>
        <w:proofErr w:type="spellEnd"/>
      </w:hyperlink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.</w:t>
      </w:r>
    </w:p>
    <w:p w:rsidR="007A3C3A" w:rsidRPr="007A3C3A" w:rsidRDefault="007A3C3A" w:rsidP="007A3C3A">
      <w:pPr>
        <w:numPr>
          <w:ilvl w:val="0"/>
          <w:numId w:val="5"/>
        </w:numPr>
        <w:shd w:val="clear" w:color="auto" w:fill="F4F4F4"/>
        <w:spacing w:after="0" w:line="480" w:lineRule="atLeast"/>
        <w:ind w:left="0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Если у вас нет личного кабинета, заявление можно скачать с сайта ФНС (</w:t>
      </w:r>
      <w:hyperlink r:id="rId14" w:tgtFrame="_blank" w:history="1">
        <w:r w:rsidRPr="007A3C3A">
          <w:rPr>
            <w:rFonts w:ascii="Circe" w:eastAsia="Times New Roman" w:hAnsi="Circe" w:cs="Times New Roman"/>
            <w:b/>
            <w:bCs/>
            <w:color w:val="000000"/>
            <w:sz w:val="33"/>
            <w:lang w:eastAsia="ru-RU"/>
          </w:rPr>
          <w:t>здесь</w:t>
        </w:r>
      </w:hyperlink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 xml:space="preserve">), потом распечатать его, подписать и отправить по почте в налоговый орган. ИП направляют по месту жительства, </w:t>
      </w:r>
      <w:proofErr w:type="spellStart"/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юрлица</w:t>
      </w:r>
      <w:proofErr w:type="spellEnd"/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 xml:space="preserve"> – по месту нахождения компании.</w:t>
      </w:r>
    </w:p>
    <w:p w:rsidR="007A3C3A" w:rsidRPr="007A3C3A" w:rsidRDefault="007A3C3A" w:rsidP="007A3C3A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br/>
      </w:r>
    </w:p>
    <w:p w:rsidR="007A3C3A" w:rsidRPr="007A3C3A" w:rsidRDefault="007A3C3A" w:rsidP="007A3C3A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b/>
          <w:bCs/>
          <w:color w:val="000000"/>
          <w:sz w:val="33"/>
          <w:szCs w:val="33"/>
          <w:lang w:eastAsia="ru-RU"/>
        </w:rPr>
        <w:t>Когда выплатят деньги?</w:t>
      </w:r>
    </w:p>
    <w:p w:rsidR="007A3C3A" w:rsidRPr="007A3C3A" w:rsidRDefault="007A3C3A" w:rsidP="007A3C3A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lastRenderedPageBreak/>
        <w:t>Заявление будет рассмотрено в течение 5 рабочих дней. Деньги на указанный в заявлении расчётный счёт при соблюдении всех условий поступят в течение 8 рабочих дней.</w:t>
      </w:r>
    </w:p>
    <w:p w:rsidR="007A3C3A" w:rsidRPr="007A3C3A" w:rsidRDefault="007A3C3A" w:rsidP="007A3C3A">
      <w:pPr>
        <w:shd w:val="clear" w:color="auto" w:fill="ECECEC"/>
        <w:spacing w:after="75" w:line="600" w:lineRule="atLeast"/>
        <w:rPr>
          <w:rFonts w:ascii="Circe" w:eastAsia="Times New Roman" w:hAnsi="Circe" w:cs="Times New Roman"/>
          <w:b/>
          <w:bCs/>
          <w:color w:val="000000"/>
          <w:sz w:val="42"/>
          <w:szCs w:val="42"/>
          <w:lang w:eastAsia="ru-RU"/>
        </w:rPr>
      </w:pPr>
      <w:r w:rsidRPr="007A3C3A">
        <w:rPr>
          <w:rFonts w:ascii="Circe" w:eastAsia="Times New Roman" w:hAnsi="Circe" w:cs="Times New Roman"/>
          <w:b/>
          <w:bCs/>
          <w:color w:val="000000"/>
          <w:sz w:val="42"/>
          <w:szCs w:val="42"/>
          <w:lang w:eastAsia="ru-RU"/>
        </w:rPr>
        <w:t>ВАЖНО</w:t>
      </w:r>
    </w:p>
    <w:p w:rsidR="007A3C3A" w:rsidRPr="007A3C3A" w:rsidRDefault="007A3C3A" w:rsidP="007A3C3A">
      <w:pPr>
        <w:shd w:val="clear" w:color="auto" w:fill="ECECEC"/>
        <w:spacing w:after="0" w:line="420" w:lineRule="atLeast"/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27"/>
          <w:szCs w:val="27"/>
          <w:lang w:eastAsia="ru-RU"/>
        </w:rPr>
        <w:t>Субсидия предоставляется однократно.</w:t>
      </w:r>
    </w:p>
    <w:p w:rsidR="007A3C3A" w:rsidRPr="007A3C3A" w:rsidRDefault="007A3C3A" w:rsidP="007A3C3A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br/>
      </w:r>
    </w:p>
    <w:p w:rsidR="007A3C3A" w:rsidRPr="007A3C3A" w:rsidRDefault="007A3C3A" w:rsidP="007A3C3A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b/>
          <w:bCs/>
          <w:color w:val="000000"/>
          <w:sz w:val="33"/>
          <w:szCs w:val="33"/>
          <w:lang w:eastAsia="ru-RU"/>
        </w:rPr>
        <w:t>Где отслеживать статус заявления?</w:t>
      </w:r>
    </w:p>
    <w:p w:rsidR="007A3C3A" w:rsidRPr="007A3C3A" w:rsidRDefault="007A3C3A" w:rsidP="007A3C3A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О факте выплаты ФНС проинформирует по ТКС или через ваш личный кабинет на сайте. Если отправляли бумажное заявление, то уведомление придёт на указанный адрес. Проверить ход рассмотрения заявления можно по ИНН </w:t>
      </w:r>
      <w:hyperlink r:id="rId15" w:tgtFrame="_blank" w:history="1">
        <w:r w:rsidRPr="007A3C3A">
          <w:rPr>
            <w:rFonts w:ascii="Circe" w:eastAsia="Times New Roman" w:hAnsi="Circe" w:cs="Times New Roman"/>
            <w:b/>
            <w:bCs/>
            <w:color w:val="000000"/>
            <w:sz w:val="33"/>
            <w:lang w:eastAsia="ru-RU"/>
          </w:rPr>
          <w:t>здесь</w:t>
        </w:r>
      </w:hyperlink>
      <w:r w:rsidRPr="007A3C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t>.</w:t>
      </w:r>
    </w:p>
    <w:p w:rsidR="002C4C96" w:rsidRDefault="002C4C96"/>
    <w:sectPr w:rsidR="002C4C96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666"/>
    <w:multiLevelType w:val="multilevel"/>
    <w:tmpl w:val="9014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2652DD"/>
    <w:multiLevelType w:val="multilevel"/>
    <w:tmpl w:val="1E60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F0426B"/>
    <w:multiLevelType w:val="multilevel"/>
    <w:tmpl w:val="9782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3B343A"/>
    <w:multiLevelType w:val="multilevel"/>
    <w:tmpl w:val="C3BC8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8686E"/>
    <w:multiLevelType w:val="multilevel"/>
    <w:tmpl w:val="2330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C3A"/>
    <w:rsid w:val="002C4C96"/>
    <w:rsid w:val="00535989"/>
    <w:rsid w:val="007A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96"/>
  </w:style>
  <w:style w:type="paragraph" w:styleId="1">
    <w:name w:val="heading 1"/>
    <w:basedOn w:val="a"/>
    <w:link w:val="10"/>
    <w:uiPriority w:val="9"/>
    <w:qFormat/>
    <w:rsid w:val="007A3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3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3C3A"/>
    <w:rPr>
      <w:color w:val="0000FF"/>
      <w:u w:val="single"/>
    </w:rPr>
  </w:style>
  <w:style w:type="paragraph" w:customStyle="1" w:styleId="innerarticlereference">
    <w:name w:val="inner_article__reference"/>
    <w:basedOn w:val="a"/>
    <w:rsid w:val="007A3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articlereferencetitle">
    <w:name w:val="inner_article__reference_title"/>
    <w:basedOn w:val="a"/>
    <w:rsid w:val="007A3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articlereferencetext">
    <w:name w:val="inner_article__reference_text"/>
    <w:basedOn w:val="a"/>
    <w:rsid w:val="007A3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43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115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512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093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omy.gov.ru/material/dokumenty/reestr_socialno_orientirovannyh_nekommercheskih_organizaciy.html" TargetMode="External"/><Relationship Id="rId13" Type="http://schemas.openxmlformats.org/officeDocument/2006/relationships/hyperlink" Target="http://lkul.nalo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12" Type="http://schemas.openxmlformats.org/officeDocument/2006/relationships/hyperlink" Target="https://lkip2.nalog.ru/l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10300005?index=0&amp;rangeSize=1" TargetMode="External"/><Relationship Id="rId11" Type="http://schemas.openxmlformats.org/officeDocument/2006/relationships/hyperlink" Target="https://www.nalog.gov.ru/rn77/business-support-2020/subsidy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ervice.nalog.ru/subsidy3-2/" TargetMode="External"/><Relationship Id="rId10" Type="http://schemas.openxmlformats.org/officeDocument/2006/relationships/hyperlink" Target="http://www.consultant.ru/document/cons_doc_LAW_348585/233452e185dfca51d5c3bf16d62e029df1057e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110300005?index=14&amp;rangeSize=1" TargetMode="External"/><Relationship Id="rId14" Type="http://schemas.openxmlformats.org/officeDocument/2006/relationships/hyperlink" Target="https://www.nalog.gov.ru/rn77/business-support-2020/subsi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2021-11-10T00:20:00Z</dcterms:created>
  <dcterms:modified xsi:type="dcterms:W3CDTF">2021-11-10T00:29:00Z</dcterms:modified>
</cp:coreProperties>
</file>