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025" w:rsidRDefault="002512F9" w:rsidP="002512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РОССИЙСКАЯ ФЕДЕРАЦИЯ</w:t>
      </w:r>
    </w:p>
    <w:p w:rsidR="002512F9" w:rsidRDefault="002512F9" w:rsidP="002512F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РЕСПУБЛИКА БУРЯТИЯ</w:t>
      </w:r>
    </w:p>
    <w:p w:rsidR="004A3C63" w:rsidRDefault="004A3C63" w:rsidP="005A1025">
      <w:pPr>
        <w:pStyle w:val="Default"/>
        <w:jc w:val="center"/>
        <w:rPr>
          <w:b/>
          <w:bCs/>
          <w:sz w:val="28"/>
          <w:szCs w:val="28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2512F9" w:rsidRP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512F9">
        <w:rPr>
          <w:rFonts w:ascii="TimesNewRomanPS-BoldMT" w:hAnsi="TimesNewRomanPS-BoldMT" w:cs="TimesNewRomanPS-BoldMT"/>
          <w:b/>
          <w:bCs/>
          <w:sz w:val="32"/>
          <w:szCs w:val="32"/>
        </w:rPr>
        <w:t>НОРМАТИВЫ</w:t>
      </w:r>
    </w:p>
    <w:p w:rsidR="002512F9" w:rsidRP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512F9">
        <w:rPr>
          <w:rFonts w:ascii="TimesNewRomanPS-BoldMT" w:hAnsi="TimesNewRomanPS-BoldMT" w:cs="TimesNewRomanPS-BoldMT"/>
          <w:b/>
          <w:bCs/>
          <w:sz w:val="32"/>
          <w:szCs w:val="32"/>
        </w:rPr>
        <w:t>ГРАДОСТРОИТЕЛЬНОГО ПРОЕКТИРОВАНИЯ</w:t>
      </w:r>
    </w:p>
    <w:p w:rsidR="002512F9" w:rsidRP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512F9">
        <w:rPr>
          <w:rFonts w:ascii="TimesNewRomanPS-BoldMT" w:hAnsi="TimesNewRomanPS-BoldMT" w:cs="TimesNewRomanPS-BoldMT"/>
          <w:b/>
          <w:bCs/>
          <w:sz w:val="32"/>
          <w:szCs w:val="32"/>
        </w:rPr>
        <w:t>МУНИЦИПАЛЬНОГО О</w:t>
      </w:r>
      <w:r w:rsidR="00256838">
        <w:rPr>
          <w:rFonts w:ascii="TimesNewRomanPS-BoldMT" w:hAnsi="TimesNewRomanPS-BoldMT" w:cs="TimesNewRomanPS-BoldMT"/>
          <w:b/>
          <w:bCs/>
          <w:sz w:val="32"/>
          <w:szCs w:val="32"/>
        </w:rPr>
        <w:t>БРАЗОВАНИЯ</w:t>
      </w:r>
      <w:r w:rsidRPr="002512F9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«ТАРБАГАТАЙСКИЙ РАЙОН» РЕСПУБЛИКИ БУРЯТИЯ</w:t>
      </w:r>
    </w:p>
    <w:p w:rsidR="002512F9" w:rsidRP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Pr="00DF6971" w:rsidRDefault="00DF6971" w:rsidP="00DF6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6971">
        <w:rPr>
          <w:rFonts w:ascii="Times New Roman" w:hAnsi="Times New Roman" w:cs="Times New Roman"/>
          <w:b/>
          <w:sz w:val="32"/>
          <w:szCs w:val="32"/>
        </w:rPr>
        <w:t xml:space="preserve">ТОМ </w:t>
      </w:r>
      <w:r w:rsidRPr="00DF6971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="00956B37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DF6971" w:rsidRDefault="00DF6971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2512F9" w:rsidRPr="00DF6971" w:rsidRDefault="00956B37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ПРАВИЛА И ОБЛАСТЬ ПРИМЕНЕНИЯ РАСЧЕТНЫХ ПОКАЗАТЕЛЕЙ, СОДЕРЖАЩИХСЯ В </w:t>
      </w:r>
      <w:r w:rsidR="002512F9" w:rsidRPr="00DF6971">
        <w:rPr>
          <w:rFonts w:ascii="TimesNewRomanPS-BoldMT" w:hAnsi="TimesNewRomanPS-BoldMT" w:cs="TimesNewRomanPS-BoldMT"/>
          <w:b/>
          <w:bCs/>
          <w:sz w:val="32"/>
          <w:szCs w:val="32"/>
        </w:rPr>
        <w:t>ОСНОВН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ОЙ</w:t>
      </w:r>
      <w:r w:rsidR="002512F9" w:rsidRPr="00DF697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ЧАСТ</w:t>
      </w:r>
      <w:r>
        <w:rPr>
          <w:rFonts w:ascii="TimesNewRomanPS-BoldMT" w:hAnsi="TimesNewRomanPS-BoldMT" w:cs="TimesNewRomanPS-BoldMT"/>
          <w:b/>
          <w:bCs/>
          <w:sz w:val="32"/>
          <w:szCs w:val="32"/>
        </w:rPr>
        <w:t>И</w:t>
      </w:r>
    </w:p>
    <w:p w:rsidR="002512F9" w:rsidRPr="00DF6971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DF6971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НОРМАТИВОВ </w:t>
      </w:r>
      <w:proofErr w:type="gramStart"/>
      <w:r w:rsidRPr="00DF6971">
        <w:rPr>
          <w:rFonts w:ascii="TimesNewRomanPS-BoldMT" w:hAnsi="TimesNewRomanPS-BoldMT" w:cs="TimesNewRomanPS-BoldMT"/>
          <w:b/>
          <w:bCs/>
          <w:sz w:val="32"/>
          <w:szCs w:val="32"/>
        </w:rPr>
        <w:t>ГРАДОСТРОИТЕЛЬНОГО</w:t>
      </w:r>
      <w:proofErr w:type="gramEnd"/>
    </w:p>
    <w:p w:rsidR="002512F9" w:rsidRPr="002512F9" w:rsidRDefault="002512F9" w:rsidP="002512F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DF6971">
        <w:rPr>
          <w:rFonts w:ascii="TimesNewRomanPS-BoldMT" w:hAnsi="TimesNewRomanPS-BoldMT" w:cs="TimesNewRomanPS-BoldMT"/>
          <w:b/>
          <w:bCs/>
          <w:sz w:val="32"/>
          <w:szCs w:val="32"/>
        </w:rPr>
        <w:t>ПРОЕКТИРОВАНИЯ</w:t>
      </w: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A4928" w:rsidRDefault="00CA4928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2512F9" w:rsidRDefault="002512F9" w:rsidP="002512F9">
      <w:pPr>
        <w:pStyle w:val="Default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A3C63" w:rsidRDefault="002512F9" w:rsidP="002512F9">
      <w:pPr>
        <w:pStyle w:val="Default"/>
        <w:jc w:val="center"/>
        <w:rPr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201</w:t>
      </w:r>
      <w:r w:rsidR="00056C52">
        <w:rPr>
          <w:rFonts w:ascii="TimesNewRomanPS-BoldMT" w:hAnsi="TimesNewRomanPS-BoldMT" w:cs="TimesNewRomanPS-BoldMT"/>
          <w:b/>
          <w:bCs/>
          <w:sz w:val="28"/>
          <w:szCs w:val="28"/>
        </w:rPr>
        <w:t>7</w:t>
      </w:r>
    </w:p>
    <w:p w:rsidR="005A1025" w:rsidRPr="00256838" w:rsidRDefault="005A1025" w:rsidP="005A1025">
      <w:pPr>
        <w:pStyle w:val="Default"/>
        <w:jc w:val="center"/>
        <w:rPr>
          <w:b/>
          <w:sz w:val="28"/>
          <w:szCs w:val="28"/>
        </w:rPr>
      </w:pPr>
      <w:r w:rsidRPr="00256838">
        <w:rPr>
          <w:b/>
          <w:bCs/>
          <w:sz w:val="28"/>
          <w:szCs w:val="28"/>
        </w:rPr>
        <w:lastRenderedPageBreak/>
        <w:t>Нормативы градостроительного проектирования</w:t>
      </w:r>
    </w:p>
    <w:p w:rsidR="005A1025" w:rsidRPr="00256838" w:rsidRDefault="00CA4928" w:rsidP="005A1025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5A1025" w:rsidRPr="00256838">
        <w:rPr>
          <w:b/>
          <w:sz w:val="28"/>
          <w:szCs w:val="28"/>
        </w:rPr>
        <w:t>униципального образования «</w:t>
      </w:r>
      <w:proofErr w:type="spellStart"/>
      <w:r w:rsidR="005A1025" w:rsidRPr="00256838">
        <w:rPr>
          <w:b/>
          <w:sz w:val="28"/>
          <w:szCs w:val="28"/>
        </w:rPr>
        <w:t>Тарбагатайский</w:t>
      </w:r>
      <w:proofErr w:type="spellEnd"/>
      <w:r w:rsidR="005A1025" w:rsidRPr="00256838">
        <w:rPr>
          <w:b/>
          <w:sz w:val="28"/>
          <w:szCs w:val="28"/>
        </w:rPr>
        <w:t xml:space="preserve"> район» республики Бурятия</w:t>
      </w:r>
    </w:p>
    <w:p w:rsidR="001076BF" w:rsidRDefault="001076BF" w:rsidP="005A1025">
      <w:pPr>
        <w:pStyle w:val="Default"/>
        <w:jc w:val="center"/>
        <w:rPr>
          <w:sz w:val="28"/>
          <w:szCs w:val="28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D6C" w:rsidTr="00437D6C">
        <w:tc>
          <w:tcPr>
            <w:tcW w:w="4785" w:type="dxa"/>
          </w:tcPr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7D6C">
              <w:rPr>
                <w:b/>
                <w:bCs/>
              </w:rPr>
              <w:t>РАЗРАБОТАНЫ</w:t>
            </w: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437D6C" w:rsidRPr="00437D6C" w:rsidRDefault="00437D6C" w:rsidP="0043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Системинжиниринг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7D6C" w:rsidTr="00437D6C">
        <w:tc>
          <w:tcPr>
            <w:tcW w:w="4785" w:type="dxa"/>
          </w:tcPr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437D6C">
              <w:rPr>
                <w:b/>
                <w:bCs/>
              </w:rPr>
              <w:t>УТВЕРЖДЕНЫ</w:t>
            </w: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86" w:type="dxa"/>
          </w:tcPr>
          <w:p w:rsidR="00437D6C" w:rsidRPr="00437D6C" w:rsidRDefault="00437D6C" w:rsidP="0043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37D6C">
              <w:rPr>
                <w:rFonts w:ascii="Times New Roman" w:hAnsi="Times New Roman" w:cs="Times New Roman"/>
                <w:sz w:val="24"/>
                <w:szCs w:val="24"/>
              </w:rPr>
              <w:t xml:space="preserve">ешением Совета депутатов муниципального образования </w:t>
            </w:r>
          </w:p>
          <w:p w:rsidR="00437D6C" w:rsidRPr="00437D6C" w:rsidRDefault="00437D6C" w:rsidP="0043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7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>Тарбагатайск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  <w:p w:rsidR="00437D6C" w:rsidRPr="00437D6C" w:rsidRDefault="00437D6C" w:rsidP="00437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 xml:space="preserve"> «____» </w:t>
            </w:r>
            <w:proofErr w:type="gramStart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  <w:r w:rsidRPr="00437D6C">
              <w:rPr>
                <w:rFonts w:ascii="Times New Roman" w:hAnsi="Times New Roman" w:cs="Times New Roman"/>
                <w:sz w:val="24"/>
                <w:szCs w:val="24"/>
              </w:rPr>
              <w:t xml:space="preserve"> 2017 года № ___</w:t>
            </w:r>
          </w:p>
          <w:p w:rsidR="00437D6C" w:rsidRDefault="00437D6C" w:rsidP="00437D6C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4A3C63" w:rsidRPr="00437D6C" w:rsidRDefault="004A3C63" w:rsidP="00437D6C">
      <w:pPr>
        <w:pStyle w:val="Default"/>
        <w:ind w:firstLine="567"/>
        <w:rPr>
          <w:b/>
          <w:bCs/>
          <w:sz w:val="22"/>
          <w:szCs w:val="22"/>
        </w:rPr>
      </w:pPr>
    </w:p>
    <w:p w:rsidR="00437D6C" w:rsidRPr="00437D6C" w:rsidRDefault="00437D6C" w:rsidP="0043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3C63" w:rsidRDefault="004A3C63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37D6C" w:rsidRPr="00437D6C" w:rsidRDefault="00437D6C" w:rsidP="0043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D6C">
        <w:rPr>
          <w:rFonts w:ascii="Times New Roman" w:hAnsi="Times New Roman" w:cs="Times New Roman"/>
          <w:b/>
          <w:bCs/>
          <w:sz w:val="24"/>
          <w:szCs w:val="24"/>
        </w:rPr>
        <w:t>НОРМАТИВЫ ГРАДОСТРОИТЕЛЬНОГО ПРОЕКТИРОВАНИЯ</w:t>
      </w:r>
    </w:p>
    <w:p w:rsidR="00437D6C" w:rsidRPr="00437D6C" w:rsidRDefault="00437D6C" w:rsidP="00437D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«ТАРБАГАТАЙСКИЙ РАЙОН»</w:t>
      </w:r>
    </w:p>
    <w:p w:rsidR="00437D6C" w:rsidRPr="00256838" w:rsidRDefault="00437D6C" w:rsidP="00437D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7D6C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="0025683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ТОМ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>Расчетные показатели минимально допустимого уровня обеспеченности объектами</w:t>
      </w:r>
    </w:p>
    <w:p w:rsidR="00437D6C" w:rsidRPr="00437D6C" w:rsidRDefault="00256838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</w:t>
      </w:r>
      <w:r w:rsidR="00437D6C" w:rsidRPr="00437D6C">
        <w:rPr>
          <w:rFonts w:ascii="Times New Roman" w:hAnsi="Times New Roman" w:cs="Times New Roman"/>
          <w:sz w:val="24"/>
          <w:szCs w:val="24"/>
        </w:rPr>
        <w:t xml:space="preserve"> значения и максимально допустимого уровня </w:t>
      </w:r>
      <w:proofErr w:type="gramStart"/>
      <w:r w:rsidR="00437D6C" w:rsidRPr="00437D6C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</w:p>
    <w:p w:rsid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 xml:space="preserve">доступности таких объектов для населения </w:t>
      </w:r>
      <w:r w:rsidR="00256838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56838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25683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56838" w:rsidRPr="00437D6C" w:rsidRDefault="00256838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D6C" w:rsidRPr="00256838" w:rsidRDefault="00256838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838">
        <w:rPr>
          <w:rFonts w:ascii="Times New Roman" w:hAnsi="Times New Roman" w:cs="Times New Roman"/>
          <w:b/>
          <w:sz w:val="24"/>
          <w:szCs w:val="24"/>
        </w:rPr>
        <w:t xml:space="preserve">ТОМ </w:t>
      </w:r>
      <w:r w:rsidRPr="002568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 xml:space="preserve">МАТЕРИАЛЫ ПО ОБОСНОВАНИЮ расчетных показателей, содержащихся </w:t>
      </w:r>
      <w:proofErr w:type="gramStart"/>
      <w:r w:rsidRPr="00437D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>основной части нормативов градостро</w:t>
      </w:r>
      <w:r w:rsidR="00256838">
        <w:rPr>
          <w:rFonts w:ascii="Times New Roman" w:hAnsi="Times New Roman" w:cs="Times New Roman"/>
          <w:sz w:val="24"/>
          <w:szCs w:val="24"/>
        </w:rPr>
        <w:t xml:space="preserve">ительного проектирования </w:t>
      </w:r>
    </w:p>
    <w:p w:rsidR="00256838" w:rsidRDefault="00256838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6838" w:rsidRPr="00437D6C" w:rsidRDefault="00256838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838">
        <w:rPr>
          <w:rFonts w:ascii="Times New Roman" w:hAnsi="Times New Roman" w:cs="Times New Roman"/>
          <w:b/>
          <w:sz w:val="24"/>
          <w:szCs w:val="24"/>
        </w:rPr>
        <w:t xml:space="preserve">ТОМ </w:t>
      </w:r>
      <w:r w:rsidRPr="0025683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437D6C" w:rsidRPr="00437D6C" w:rsidRDefault="00437D6C" w:rsidP="0025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D6C">
        <w:rPr>
          <w:rFonts w:ascii="Times New Roman" w:hAnsi="Times New Roman" w:cs="Times New Roman"/>
          <w:sz w:val="24"/>
          <w:szCs w:val="24"/>
        </w:rPr>
        <w:t xml:space="preserve">ПРАВИЛА И ОБЛАСТЬ ПРИМЕНЕНИЯ расчетных показателей, содержащихся </w:t>
      </w:r>
      <w:proofErr w:type="gramStart"/>
      <w:r w:rsidRPr="00437D6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164AE" w:rsidRPr="00437D6C" w:rsidRDefault="00437D6C" w:rsidP="00256838">
      <w:pPr>
        <w:pStyle w:val="Default"/>
        <w:jc w:val="both"/>
        <w:rPr>
          <w:b/>
          <w:bCs/>
          <w:sz w:val="22"/>
          <w:szCs w:val="22"/>
        </w:rPr>
      </w:pPr>
      <w:r w:rsidRPr="00437D6C">
        <w:t xml:space="preserve">основной части нормативов градостроительного проектирования </w:t>
      </w:r>
    </w:p>
    <w:p w:rsidR="009164AE" w:rsidRDefault="009164AE" w:rsidP="00256838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9164AE" w:rsidRDefault="009164AE" w:rsidP="00256838">
      <w:pPr>
        <w:pStyle w:val="Default"/>
        <w:ind w:firstLine="567"/>
        <w:jc w:val="both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CA4928" w:rsidRDefault="00CA4928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CA4928" w:rsidRDefault="00CA4928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4A560A" w:rsidRDefault="004A560A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9164AE" w:rsidRDefault="009164AE" w:rsidP="00EB4E46">
      <w:pPr>
        <w:pStyle w:val="Default"/>
        <w:ind w:firstLine="567"/>
        <w:jc w:val="center"/>
        <w:rPr>
          <w:b/>
          <w:bCs/>
          <w:sz w:val="22"/>
          <w:szCs w:val="22"/>
        </w:rPr>
      </w:pPr>
    </w:p>
    <w:p w:rsidR="001076BF" w:rsidRDefault="001076BF" w:rsidP="00087BA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НОРМАТИВЫ</w:t>
      </w:r>
    </w:p>
    <w:p w:rsidR="001076BF" w:rsidRDefault="001076BF" w:rsidP="00087BA3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ГРАДОСТРОИТЕЛЬНОГО ПРОЕКТИРОВАНИЯ МУНИЦИПАЛЬНОГО ОБРАЗОВАНИЯ «</w:t>
      </w:r>
      <w:r w:rsidR="00EB4E46">
        <w:rPr>
          <w:b/>
          <w:bCs/>
          <w:sz w:val="22"/>
          <w:szCs w:val="22"/>
        </w:rPr>
        <w:t>ТАРБАГАТАЙСКИЙ РАЙОН</w:t>
      </w:r>
      <w:r>
        <w:rPr>
          <w:b/>
          <w:bCs/>
          <w:sz w:val="22"/>
          <w:szCs w:val="22"/>
        </w:rPr>
        <w:t>»</w:t>
      </w:r>
    </w:p>
    <w:p w:rsidR="0034393A" w:rsidRDefault="0034393A" w:rsidP="00EB4E46">
      <w:pPr>
        <w:pStyle w:val="Default"/>
        <w:ind w:firstLine="567"/>
        <w:jc w:val="center"/>
        <w:rPr>
          <w:sz w:val="22"/>
          <w:szCs w:val="22"/>
        </w:rPr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Pr="008429AC" w:rsidRDefault="008429AC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29A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p w:rsidR="008429AC" w:rsidRDefault="008429AC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429AC">
        <w:rPr>
          <w:rFonts w:ascii="Times New Roman" w:hAnsi="Times New Roman" w:cs="Times New Roman"/>
          <w:sz w:val="24"/>
          <w:szCs w:val="24"/>
        </w:rPr>
        <w:t>1. Область применения значений расчетных показателей минимально</w:t>
      </w:r>
      <w:r w:rsidR="00087BA3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допустимого уровня обеспеченности объектами местного значения и максимально</w:t>
      </w:r>
      <w:r w:rsidR="00087BA3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допустимого уровня территориальной доступности таких объектов для населения</w:t>
      </w:r>
      <w:r w:rsidR="00087BA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087BA3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087BA3">
        <w:rPr>
          <w:rFonts w:ascii="Times New Roman" w:hAnsi="Times New Roman" w:cs="Times New Roman"/>
          <w:sz w:val="24"/>
          <w:szCs w:val="24"/>
        </w:rPr>
        <w:t xml:space="preserve"> район» республики Бурятия, </w:t>
      </w:r>
      <w:r w:rsidRPr="008429AC">
        <w:rPr>
          <w:rFonts w:ascii="Times New Roman" w:hAnsi="Times New Roman" w:cs="Times New Roman"/>
          <w:sz w:val="24"/>
          <w:szCs w:val="24"/>
        </w:rPr>
        <w:t>содержащихся в основной части нормативов</w:t>
      </w:r>
      <w:r w:rsidR="00087BA3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гр</w:t>
      </w:r>
      <w:r w:rsidR="004A6C4B">
        <w:rPr>
          <w:rFonts w:ascii="Times New Roman" w:hAnsi="Times New Roman" w:cs="Times New Roman"/>
          <w:sz w:val="24"/>
          <w:szCs w:val="24"/>
        </w:rPr>
        <w:t>адостроительного проектирования………..</w:t>
      </w:r>
      <w:r w:rsidRPr="008429AC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r w:rsidR="003E0211">
        <w:rPr>
          <w:rFonts w:ascii="Times New Roman" w:hAnsi="Times New Roman" w:cs="Times New Roman"/>
          <w:sz w:val="24"/>
          <w:szCs w:val="24"/>
        </w:rPr>
        <w:t>5</w:t>
      </w:r>
    </w:p>
    <w:p w:rsidR="007A2269" w:rsidRPr="008429AC" w:rsidRDefault="007A2269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AC" w:rsidRPr="008429AC" w:rsidRDefault="008429AC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AC">
        <w:rPr>
          <w:rFonts w:ascii="Times New Roman" w:hAnsi="Times New Roman" w:cs="Times New Roman"/>
          <w:sz w:val="24"/>
          <w:szCs w:val="24"/>
        </w:rPr>
        <w:t>2. Правила применения расчетных показателей</w:t>
      </w:r>
      <w:r w:rsidR="004A6C4B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минимально допустимого уровня обеспеченности объектами местного значения и</w:t>
      </w:r>
      <w:r w:rsidR="004A6C4B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максимально допустимого уровня территориальной доступности таких объектов</w:t>
      </w:r>
      <w:r w:rsidR="004A6C4B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 xml:space="preserve">для населения </w:t>
      </w:r>
      <w:r w:rsidR="004A6C4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A6C4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4A6C4B">
        <w:rPr>
          <w:rFonts w:ascii="Times New Roman" w:hAnsi="Times New Roman" w:cs="Times New Roman"/>
          <w:sz w:val="24"/>
          <w:szCs w:val="24"/>
        </w:rPr>
        <w:t xml:space="preserve"> район» республики Бурятия</w:t>
      </w:r>
      <w:r w:rsidRPr="008429AC">
        <w:rPr>
          <w:rFonts w:ascii="Times New Roman" w:hAnsi="Times New Roman" w:cs="Times New Roman"/>
          <w:sz w:val="24"/>
          <w:szCs w:val="24"/>
        </w:rPr>
        <w:t>, содержащихся в основной части</w:t>
      </w:r>
      <w:r w:rsidR="004A6C4B"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нормативов градостроительного проектирования, при подготовке документов</w:t>
      </w:r>
    </w:p>
    <w:p w:rsidR="008429AC" w:rsidRPr="0093284D" w:rsidRDefault="008429AC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AC">
        <w:rPr>
          <w:rFonts w:ascii="Times New Roman" w:hAnsi="Times New Roman" w:cs="Times New Roman"/>
          <w:sz w:val="24"/>
          <w:szCs w:val="24"/>
        </w:rPr>
        <w:t>территориального планирования ……………………………………………………………</w:t>
      </w:r>
      <w:r w:rsidRPr="0093284D">
        <w:rPr>
          <w:rFonts w:ascii="Times New Roman" w:hAnsi="Times New Roman" w:cs="Times New Roman"/>
          <w:sz w:val="24"/>
          <w:szCs w:val="24"/>
        </w:rPr>
        <w:t>9</w:t>
      </w:r>
    </w:p>
    <w:p w:rsidR="007A2269" w:rsidRDefault="007A2269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9AC" w:rsidRPr="008429AC" w:rsidRDefault="008429AC" w:rsidP="009328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429A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96271">
        <w:rPr>
          <w:rFonts w:ascii="Times New Roman" w:hAnsi="Times New Roman" w:cs="Times New Roman"/>
          <w:sz w:val="24"/>
          <w:szCs w:val="24"/>
        </w:rPr>
        <w:t>№</w:t>
      </w:r>
      <w:r w:rsidR="00CA4928">
        <w:rPr>
          <w:rFonts w:ascii="Times New Roman" w:hAnsi="Times New Roman" w:cs="Times New Roman"/>
          <w:sz w:val="24"/>
          <w:szCs w:val="24"/>
        </w:rPr>
        <w:t>3</w:t>
      </w:r>
      <w:r w:rsidRPr="008429AC">
        <w:rPr>
          <w:rFonts w:ascii="Times New Roman" w:hAnsi="Times New Roman" w:cs="Times New Roman"/>
          <w:sz w:val="24"/>
          <w:szCs w:val="24"/>
        </w:rPr>
        <w:t>. Термины и определения, используемые в нормативах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AC">
        <w:rPr>
          <w:rFonts w:ascii="Times New Roman" w:hAnsi="Times New Roman" w:cs="Times New Roman"/>
          <w:sz w:val="24"/>
          <w:szCs w:val="24"/>
        </w:rPr>
        <w:t>градостроительного прое</w:t>
      </w:r>
      <w:r w:rsidR="00CA3ACF">
        <w:rPr>
          <w:rFonts w:ascii="Times New Roman" w:hAnsi="Times New Roman" w:cs="Times New Roman"/>
          <w:sz w:val="24"/>
          <w:szCs w:val="24"/>
        </w:rPr>
        <w:t>ктирования 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</w:t>
      </w:r>
      <w:r w:rsidR="007C1F0E">
        <w:rPr>
          <w:rFonts w:ascii="Times New Roman" w:hAnsi="Times New Roman" w:cs="Times New Roman"/>
          <w:sz w:val="24"/>
          <w:szCs w:val="24"/>
        </w:rPr>
        <w:t>..</w:t>
      </w:r>
      <w:r w:rsidRPr="008429AC">
        <w:rPr>
          <w:rFonts w:ascii="Times New Roman" w:hAnsi="Times New Roman" w:cs="Times New Roman"/>
          <w:sz w:val="24"/>
          <w:szCs w:val="24"/>
        </w:rPr>
        <w:t xml:space="preserve"> </w:t>
      </w:r>
      <w:r w:rsidR="003E0211">
        <w:rPr>
          <w:rFonts w:ascii="Times New Roman" w:hAnsi="Times New Roman" w:cs="Times New Roman"/>
          <w:sz w:val="24"/>
          <w:szCs w:val="24"/>
        </w:rPr>
        <w:t>63</w:t>
      </w:r>
    </w:p>
    <w:p w:rsidR="008429AC" w:rsidRDefault="008429AC" w:rsidP="0093284D">
      <w:pPr>
        <w:pStyle w:val="Default"/>
        <w:spacing w:line="360" w:lineRule="auto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CA4928" w:rsidRDefault="00CA4928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8429AC" w:rsidRDefault="008429AC" w:rsidP="0034393A">
      <w:pPr>
        <w:pStyle w:val="Default"/>
        <w:ind w:firstLine="567"/>
        <w:jc w:val="center"/>
      </w:pPr>
    </w:p>
    <w:p w:rsidR="002E437C" w:rsidRPr="002E437C" w:rsidRDefault="002E437C" w:rsidP="002E437C">
      <w:pPr>
        <w:pStyle w:val="Default"/>
        <w:jc w:val="center"/>
        <w:rPr>
          <w:b/>
          <w:bCs/>
          <w:sz w:val="22"/>
          <w:szCs w:val="22"/>
        </w:rPr>
      </w:pPr>
      <w:r w:rsidRPr="002E437C">
        <w:rPr>
          <w:b/>
          <w:bCs/>
          <w:sz w:val="22"/>
          <w:szCs w:val="22"/>
        </w:rPr>
        <w:t>1. ОБЛАСТЬ</w:t>
      </w:r>
      <w:r>
        <w:rPr>
          <w:b/>
          <w:bCs/>
          <w:sz w:val="22"/>
          <w:szCs w:val="22"/>
        </w:rPr>
        <w:t xml:space="preserve"> ПРИМЕНЕНИЯ</w:t>
      </w:r>
      <w:r w:rsidRPr="002E437C">
        <w:rPr>
          <w:b/>
          <w:bCs/>
          <w:sz w:val="22"/>
          <w:szCs w:val="22"/>
        </w:rPr>
        <w:t xml:space="preserve"> ПРЕДЕЛЬНЫХ ЗНАЧЕНИЙ РАСЧЕТНЫХ ПОКАЗАТЕЛЕЙ</w:t>
      </w:r>
    </w:p>
    <w:p w:rsidR="002E437C" w:rsidRPr="002E437C" w:rsidRDefault="002E437C" w:rsidP="002E437C">
      <w:pPr>
        <w:pStyle w:val="Default"/>
        <w:jc w:val="center"/>
        <w:rPr>
          <w:b/>
          <w:bCs/>
          <w:sz w:val="22"/>
          <w:szCs w:val="22"/>
        </w:rPr>
      </w:pPr>
      <w:r w:rsidRPr="002E437C">
        <w:rPr>
          <w:b/>
          <w:bCs/>
          <w:sz w:val="22"/>
          <w:szCs w:val="22"/>
        </w:rPr>
        <w:t>МИНИМАЛЬНО ДОПУСТИМОГО УРОВНЯ ОБЕСПЕЧЕННОСТИ</w:t>
      </w:r>
    </w:p>
    <w:p w:rsidR="002E437C" w:rsidRPr="002E437C" w:rsidRDefault="002E437C" w:rsidP="002E437C">
      <w:pPr>
        <w:pStyle w:val="Default"/>
        <w:jc w:val="center"/>
        <w:rPr>
          <w:b/>
          <w:bCs/>
          <w:sz w:val="22"/>
          <w:szCs w:val="22"/>
        </w:rPr>
      </w:pPr>
      <w:r w:rsidRPr="002E437C">
        <w:rPr>
          <w:b/>
          <w:bCs/>
          <w:sz w:val="22"/>
          <w:szCs w:val="22"/>
        </w:rPr>
        <w:t>ОБЪЕКТАМИ МЕСТНОГО ЗНАЧЕНИЯ И МАКСИМАЛЬНО ДОПУСТИМОГО</w:t>
      </w:r>
    </w:p>
    <w:p w:rsidR="002E437C" w:rsidRPr="002E437C" w:rsidRDefault="002E437C" w:rsidP="002E437C">
      <w:pPr>
        <w:pStyle w:val="Default"/>
        <w:jc w:val="center"/>
        <w:rPr>
          <w:b/>
          <w:bCs/>
          <w:sz w:val="22"/>
          <w:szCs w:val="22"/>
        </w:rPr>
      </w:pPr>
      <w:r w:rsidRPr="002E437C">
        <w:rPr>
          <w:b/>
          <w:bCs/>
          <w:sz w:val="22"/>
          <w:szCs w:val="22"/>
        </w:rPr>
        <w:t>УРОВНЯ ТЕРРИТОРИАЛЬНОЙ ДОСТУПНОСТИ ТАКИХ ОБЪЕКТОВ</w:t>
      </w:r>
    </w:p>
    <w:p w:rsidR="001076BF" w:rsidRDefault="002E437C" w:rsidP="002E437C">
      <w:pPr>
        <w:pStyle w:val="Default"/>
        <w:jc w:val="center"/>
        <w:rPr>
          <w:b/>
          <w:bCs/>
          <w:sz w:val="22"/>
          <w:szCs w:val="22"/>
        </w:rPr>
      </w:pPr>
      <w:r w:rsidRPr="002E437C">
        <w:rPr>
          <w:b/>
          <w:bCs/>
          <w:sz w:val="22"/>
          <w:szCs w:val="22"/>
        </w:rPr>
        <w:t>ДЛЯ НАСЕЛЕНИЯ МУНИЦИПАЛЬН</w:t>
      </w:r>
      <w:r>
        <w:rPr>
          <w:b/>
          <w:bCs/>
          <w:sz w:val="22"/>
          <w:szCs w:val="22"/>
        </w:rPr>
        <w:t>ОГО</w:t>
      </w:r>
      <w:r w:rsidRPr="002E437C">
        <w:rPr>
          <w:b/>
          <w:bCs/>
          <w:sz w:val="22"/>
          <w:szCs w:val="22"/>
        </w:rPr>
        <w:t xml:space="preserve"> ОБРАЗОВАНИ</w:t>
      </w:r>
      <w:r>
        <w:rPr>
          <w:b/>
          <w:bCs/>
          <w:sz w:val="22"/>
          <w:szCs w:val="22"/>
        </w:rPr>
        <w:t>Я «ТАРБАГАТАЙСКИЙ РАЙОН» РЕСПУБЛИКИ БУРЯТИЯ</w:t>
      </w:r>
      <w:r w:rsidRPr="002E437C">
        <w:rPr>
          <w:b/>
          <w:bCs/>
          <w:sz w:val="22"/>
          <w:szCs w:val="22"/>
        </w:rPr>
        <w:t xml:space="preserve"> СОДЕРЖАЩИХСЯ В ОСНОВНОЙ ЧАСТИ НОРМАТИВОВ ГРАДОСТРОИТЕЛЬНОГО ПРОЕКТИРОВАНИЯ</w:t>
      </w:r>
      <w:r>
        <w:rPr>
          <w:b/>
          <w:bCs/>
          <w:sz w:val="22"/>
          <w:szCs w:val="22"/>
        </w:rPr>
        <w:t xml:space="preserve"> </w:t>
      </w:r>
    </w:p>
    <w:p w:rsidR="002E437C" w:rsidRDefault="002E437C" w:rsidP="002E437C">
      <w:pPr>
        <w:pStyle w:val="Default"/>
        <w:jc w:val="center"/>
        <w:rPr>
          <w:color w:val="auto"/>
        </w:rPr>
      </w:pPr>
    </w:p>
    <w:p w:rsidR="009662A8" w:rsidRDefault="009662A8" w:rsidP="00DB4AC3">
      <w:pPr>
        <w:pStyle w:val="Default"/>
        <w:spacing w:line="360" w:lineRule="auto"/>
        <w:ind w:firstLine="567"/>
      </w:pPr>
      <w:r>
        <w:t>1.</w:t>
      </w:r>
      <w:r w:rsidRPr="004A3C63">
        <w:t>1. Общие положения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>Нормативы градостроительного проектирования муниципального образования «</w:t>
      </w:r>
      <w:proofErr w:type="spellStart"/>
      <w:r w:rsidRPr="00B81BF1">
        <w:t>Тарбагатайский</w:t>
      </w:r>
      <w:proofErr w:type="spellEnd"/>
      <w:r w:rsidRPr="00B81BF1">
        <w:t xml:space="preserve"> район» республики Бурятия разработаны на основании постановления администрации муниципального образования «</w:t>
      </w:r>
      <w:proofErr w:type="spellStart"/>
      <w:r w:rsidRPr="00B81BF1">
        <w:t>Тарбагатайский</w:t>
      </w:r>
      <w:proofErr w:type="spellEnd"/>
      <w:r w:rsidRPr="00B81BF1">
        <w:t xml:space="preserve"> район» республики </w:t>
      </w:r>
      <w:proofErr w:type="spellStart"/>
      <w:r w:rsidRPr="00B81BF1">
        <w:t>бурятия</w:t>
      </w:r>
      <w:proofErr w:type="spellEnd"/>
      <w:r w:rsidRPr="00B81BF1">
        <w:t xml:space="preserve"> от ____________-2017 № ______ (далее – Нормативы).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proofErr w:type="gramStart"/>
      <w:r w:rsidRPr="00B81BF1">
        <w:t xml:space="preserve">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 </w:t>
      </w:r>
      <w:proofErr w:type="gramEnd"/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proofErr w:type="gramStart"/>
      <w:r w:rsidRPr="00B81BF1">
        <w:t>Нормативы разработаны в соответствии с требованиями статей 29.2, 29.3 Градостроительного кодекса Российской Федерации, а также других нормативно-технических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республики Бурятия.</w:t>
      </w:r>
      <w:proofErr w:type="gramEnd"/>
      <w:r w:rsidRPr="00B81BF1">
        <w:t xml:space="preserve"> Нормативы обеспечивают согласованность решений стратегического социально-экономического планирования и градостроительного проектирования, определяют зависимость между показателями социально-экономического развития и пространственной организацией территорий.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Нормативы разработаны с учетом: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социально-демографического состава и плотности населения на территории муниципального образования;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планов и программ комплексного социально-экономического развития муниципального образования;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предложений органов местного самоуправления и заинтересованных лиц;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природно-климатических и социально-демографических особенностей республики Бурятия;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требований охраны окружающей среды и экологической безопасности;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санитарно-гигиенических норм;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требований сохранения памятников истории и культуры;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интенсивности использования территорий иного назначения, выраженной в процентах застройки, иных показателях;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обеспечения предупреждения чрезвычайных ситуаций природного и техногенного характера;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обеспечения требований пожарной безопасности.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proofErr w:type="gramStart"/>
      <w:r w:rsidRPr="00B81BF1">
        <w:t xml:space="preserve">Нормативы устанавливают совокупность расчетных показателей минимально допустимого уровня обеспеченности объектами местного значения поселения, относящимися к областям, указанным в пункте 1 части 5 статьи 23 Градостроительного кодекса Российской Федерации, объектами благоустройства территории,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поселения. </w:t>
      </w:r>
      <w:proofErr w:type="gramEnd"/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В целях обеспечения благоприятных условий жизнедеятельности населения Нормативы содержат расчетные показатели и параметры развития, организации и использования территорий.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Нормативы включают в себя следующие разделы: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</w:pPr>
      <w:r w:rsidRPr="00B81BF1">
        <w:rPr>
          <w:color w:val="auto"/>
        </w:rPr>
        <w:t>основная часть -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населения.</w:t>
      </w:r>
    </w:p>
    <w:p w:rsidR="009662A8" w:rsidRDefault="009662A8" w:rsidP="00DB4AC3">
      <w:pPr>
        <w:pStyle w:val="Default"/>
        <w:spacing w:line="360" w:lineRule="auto"/>
        <w:ind w:firstLine="567"/>
        <w:jc w:val="both"/>
      </w:pPr>
      <w:r w:rsidRPr="00B81BF1">
        <w:t xml:space="preserve">материалы по обоснованию расчетных показателей, содержащихся в основной части Нормативов; </w:t>
      </w:r>
    </w:p>
    <w:p w:rsidR="0004185C" w:rsidRPr="00B81BF1" w:rsidRDefault="0004185C" w:rsidP="00DB4AC3">
      <w:pPr>
        <w:pStyle w:val="Default"/>
        <w:spacing w:line="360" w:lineRule="auto"/>
        <w:ind w:firstLine="567"/>
        <w:jc w:val="both"/>
      </w:pPr>
      <w:r w:rsidRPr="00B81BF1">
        <w:t xml:space="preserve">правила и область применения расчетных показателей, содержащихся в основной части Нормативов; </w:t>
      </w:r>
    </w:p>
    <w:p w:rsidR="009662A8" w:rsidRDefault="0004185C" w:rsidP="00DB4AC3">
      <w:pPr>
        <w:pStyle w:val="Default"/>
        <w:spacing w:line="360" w:lineRule="auto"/>
        <w:ind w:firstLine="567"/>
        <w:rPr>
          <w:color w:val="auto"/>
        </w:rPr>
      </w:pPr>
      <w:r>
        <w:rPr>
          <w:color w:val="auto"/>
        </w:rPr>
        <w:t>1.</w:t>
      </w:r>
      <w:r w:rsidR="009662A8" w:rsidRPr="00B81BF1">
        <w:rPr>
          <w:color w:val="auto"/>
        </w:rPr>
        <w:t>2. Основные понятия. Термины и определения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Основные понятия, термины и определения в Нормативах применяются в соответствии с их определениями, установленными законодательством Российской Федерации. </w:t>
      </w:r>
    </w:p>
    <w:p w:rsidR="009662A8" w:rsidRDefault="0004185C" w:rsidP="00DB4AC3">
      <w:pPr>
        <w:pStyle w:val="Default"/>
        <w:spacing w:line="360" w:lineRule="auto"/>
        <w:ind w:firstLine="567"/>
        <w:rPr>
          <w:color w:val="auto"/>
        </w:rPr>
      </w:pPr>
      <w:r>
        <w:rPr>
          <w:color w:val="auto"/>
        </w:rPr>
        <w:t>1.</w:t>
      </w:r>
      <w:r w:rsidR="009662A8" w:rsidRPr="00B81BF1">
        <w:rPr>
          <w:color w:val="auto"/>
        </w:rPr>
        <w:t>3. Цели и задачи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Настоящие Нормативы разработаны в целях: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>реализации государственных и иных программ</w:t>
      </w:r>
      <w:r w:rsidR="00DB4AC3">
        <w:rPr>
          <w:color w:val="auto"/>
        </w:rPr>
        <w:t xml:space="preserve"> муниципального образования «</w:t>
      </w:r>
      <w:proofErr w:type="spellStart"/>
      <w:r w:rsidR="00DB4AC3">
        <w:rPr>
          <w:color w:val="auto"/>
        </w:rPr>
        <w:t>Тарбагатайский</w:t>
      </w:r>
      <w:proofErr w:type="spellEnd"/>
      <w:r w:rsidR="00DB4AC3">
        <w:rPr>
          <w:color w:val="auto"/>
        </w:rPr>
        <w:t xml:space="preserve"> район» и </w:t>
      </w:r>
      <w:r w:rsidRPr="00B81BF1">
        <w:rPr>
          <w:color w:val="auto"/>
        </w:rPr>
        <w:t xml:space="preserve">республики Бурятия;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обеспечения благоприятных условий жизнедеятельности населения;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>обеспечения пространственного развития территории, соответствующего качеству жизни населения, предусмотренному документами стратегического планирования республики Бурятия, определяющими и содержащими цели и задачи социально-экономического развития территории республики Бурятия, в том числе муниципального образования «</w:t>
      </w:r>
      <w:proofErr w:type="spellStart"/>
      <w:r w:rsidRPr="00B81BF1">
        <w:rPr>
          <w:color w:val="auto"/>
        </w:rPr>
        <w:t>Тарбагатайский</w:t>
      </w:r>
      <w:proofErr w:type="spellEnd"/>
      <w:r w:rsidRPr="00B81BF1">
        <w:rPr>
          <w:color w:val="auto"/>
        </w:rPr>
        <w:t xml:space="preserve"> район» республики Бурятия;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определения основных ориентиров и стандартов для разработки документов территориального планирования, документации по планировке территории.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Нормативы позволяют обеспечить согласованность решений и показателей развития территории, устанавливаемых в документах стратегического планирования республики Бурятия.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Настоящие Нормативы направлены на решение следующих основных задач: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>установление расчетных показателей, применение которых необходимо при разработке генерального плана или внесении изменений в генеральный план муниципального образования «</w:t>
      </w:r>
      <w:proofErr w:type="spellStart"/>
      <w:r w:rsidRPr="00B81BF1">
        <w:rPr>
          <w:color w:val="auto"/>
        </w:rPr>
        <w:t>Тарбагатайский</w:t>
      </w:r>
      <w:proofErr w:type="spellEnd"/>
      <w:r w:rsidRPr="00B81BF1">
        <w:rPr>
          <w:color w:val="auto"/>
        </w:rPr>
        <w:t xml:space="preserve"> район» республики Бурятия, подготовке документации по планировке территории, правил землепользования и застройки муниципального образования «</w:t>
      </w:r>
      <w:proofErr w:type="spellStart"/>
      <w:r w:rsidRPr="00B81BF1">
        <w:rPr>
          <w:color w:val="auto"/>
        </w:rPr>
        <w:t>Тарбагатайский</w:t>
      </w:r>
      <w:proofErr w:type="spellEnd"/>
      <w:r w:rsidRPr="00B81BF1">
        <w:rPr>
          <w:color w:val="auto"/>
        </w:rPr>
        <w:t xml:space="preserve"> район» республики Бурятия; </w:t>
      </w:r>
    </w:p>
    <w:p w:rsidR="009662A8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обеспечение оценки качества градостроительной документации в плане соответствия ее решений целям повышения качества жизни населения, установленным в документах стратегического планирования республики Бурятия. </w:t>
      </w:r>
    </w:p>
    <w:p w:rsidR="009662A8" w:rsidRPr="00B81BF1" w:rsidRDefault="0004185C" w:rsidP="00DB4AC3">
      <w:pPr>
        <w:pStyle w:val="Default"/>
        <w:spacing w:line="360" w:lineRule="auto"/>
        <w:ind w:firstLine="567"/>
        <w:rPr>
          <w:color w:val="auto"/>
        </w:rPr>
      </w:pPr>
      <w:r>
        <w:rPr>
          <w:color w:val="auto"/>
        </w:rPr>
        <w:t>1.</w:t>
      </w:r>
      <w:r w:rsidR="009662A8" w:rsidRPr="00B81BF1">
        <w:rPr>
          <w:color w:val="auto"/>
        </w:rPr>
        <w:t>4. Объекты местного значения поселения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В документах территориального планирования подлежат отображению объекты капитального строительства федерального, регионального и местного значения. </w:t>
      </w:r>
    </w:p>
    <w:p w:rsidR="009662A8" w:rsidRPr="00B81BF1" w:rsidRDefault="009662A8" w:rsidP="00DB4AC3">
      <w:pPr>
        <w:pStyle w:val="Default"/>
        <w:spacing w:line="360" w:lineRule="auto"/>
        <w:ind w:firstLine="567"/>
        <w:jc w:val="both"/>
        <w:rPr>
          <w:rFonts w:ascii="Calibri" w:hAnsi="Calibri" w:cs="Calibri"/>
          <w:color w:val="auto"/>
        </w:rPr>
      </w:pPr>
      <w:r w:rsidRPr="00B81BF1">
        <w:rPr>
          <w:color w:val="auto"/>
        </w:rPr>
        <w:t xml:space="preserve">Перечень объектов местного значения, подлежащих отображению в генеральном плане поселения, приведен в приложении № 1 к настоящим Нормативам. </w:t>
      </w:r>
    </w:p>
    <w:p w:rsidR="001076BF" w:rsidRPr="00B81BF1" w:rsidRDefault="0004185C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1.5</w:t>
      </w:r>
      <w:r w:rsidR="001076BF" w:rsidRPr="00B81BF1">
        <w:rPr>
          <w:color w:val="auto"/>
        </w:rPr>
        <w:t xml:space="preserve">. Настоящие Нормативы применяются при подготовке, согласовании, утверждении и реализации документов территориального планирования поселения, градостроительного зонирования, документации по планировке территории, а также используются для принятия решений органами местного самоуправления.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Настоящие 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формы, если иные расчетные показатели местного значения не предусмотрены местными нормативами градостроительного проектирования муниципального района. </w:t>
      </w:r>
    </w:p>
    <w:p w:rsidR="001076BF" w:rsidRPr="00821811" w:rsidRDefault="0004185C" w:rsidP="00DB4AC3">
      <w:pPr>
        <w:pStyle w:val="Default"/>
        <w:spacing w:line="360" w:lineRule="auto"/>
        <w:ind w:firstLine="567"/>
        <w:jc w:val="both"/>
        <w:rPr>
          <w:color w:val="FF0000"/>
        </w:rPr>
      </w:pPr>
      <w:r>
        <w:rPr>
          <w:color w:val="auto"/>
        </w:rPr>
        <w:t>1.6</w:t>
      </w:r>
      <w:r w:rsidR="001076BF" w:rsidRPr="00B81BF1">
        <w:rPr>
          <w:color w:val="auto"/>
        </w:rPr>
        <w:t>.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объектов, установленные в настоящих Нормативах</w:t>
      </w:r>
      <w:r w:rsidR="001076BF" w:rsidRPr="0082485D">
        <w:rPr>
          <w:color w:val="auto"/>
        </w:rPr>
        <w:t xml:space="preserve">, применяются при подготовке: </w:t>
      </w:r>
    </w:p>
    <w:p w:rsidR="001076BF" w:rsidRPr="00B81BF1" w:rsidRDefault="0093284D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с</w:t>
      </w:r>
      <w:r w:rsidR="00A3714C">
        <w:rPr>
          <w:color w:val="auto"/>
        </w:rPr>
        <w:t xml:space="preserve">хем территориального планирования, </w:t>
      </w:r>
      <w:r w:rsidR="001076BF" w:rsidRPr="00B81BF1">
        <w:rPr>
          <w:color w:val="auto"/>
        </w:rPr>
        <w:t xml:space="preserve">генерального плана муниципального образования </w:t>
      </w:r>
      <w:r w:rsidR="001A56BF" w:rsidRPr="00B81BF1">
        <w:rPr>
          <w:color w:val="auto"/>
        </w:rPr>
        <w:t>«</w:t>
      </w:r>
      <w:proofErr w:type="spellStart"/>
      <w:r w:rsidR="001A56BF" w:rsidRPr="00B81BF1">
        <w:t>Тарбагатайский</w:t>
      </w:r>
      <w:proofErr w:type="spellEnd"/>
      <w:r w:rsidR="001A56BF" w:rsidRPr="00B81BF1">
        <w:t xml:space="preserve"> район» республики Бурятия</w:t>
      </w:r>
      <w:r w:rsidR="001076BF" w:rsidRPr="00B81BF1">
        <w:rPr>
          <w:color w:val="auto"/>
        </w:rPr>
        <w:t xml:space="preserve">;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правил землепользования и застройки муниципального образования </w:t>
      </w:r>
      <w:r w:rsidR="001A56BF" w:rsidRPr="00B81BF1">
        <w:rPr>
          <w:color w:val="auto"/>
        </w:rPr>
        <w:t>«</w:t>
      </w:r>
      <w:proofErr w:type="spellStart"/>
      <w:r w:rsidR="001A56BF" w:rsidRPr="00B81BF1">
        <w:t>Тарбагатайский</w:t>
      </w:r>
      <w:proofErr w:type="spellEnd"/>
      <w:r w:rsidR="001A56BF" w:rsidRPr="00B81BF1">
        <w:t xml:space="preserve"> район» республики Бурятия</w:t>
      </w:r>
      <w:r w:rsidRPr="00B81BF1">
        <w:rPr>
          <w:color w:val="auto"/>
        </w:rPr>
        <w:t xml:space="preserve">;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документации по планировке территории, в том числе при подготовке проектов планировки территории, проектов межевания территории и градостроительных планов земельных участков, предназначенных для строительства (реконструкции) объектов капитального строительства.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Указанные показатели применяются также при внесении изменений в перечисленные документы. Расчетные показатели максимально допустимого уровня территориальной доступности объектов приводятся с учетом движения в одну сторону. </w:t>
      </w:r>
    </w:p>
    <w:p w:rsidR="001076BF" w:rsidRPr="00B81BF1" w:rsidRDefault="002E437C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>
        <w:rPr>
          <w:color w:val="auto"/>
        </w:rPr>
        <w:t>1.</w:t>
      </w:r>
      <w:r w:rsidR="0004185C">
        <w:rPr>
          <w:color w:val="auto"/>
        </w:rPr>
        <w:t>7</w:t>
      </w:r>
      <w:r w:rsidR="001076BF" w:rsidRPr="00B81BF1">
        <w:rPr>
          <w:color w:val="auto"/>
        </w:rPr>
        <w:t xml:space="preserve">. По вопросам, не рассматриваемым в Нормативах, следует руководствоваться Федеральным законом от 27 декабря 2002 года № 184-ФЗ «О техническом регулировании» и принимаемыми в соответствии с ним федеральными законами и иными нормативными правовыми актами Российской Федерации.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При осуществлении градостроительного проектирования необходимо учитывать, что: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поселки городского типа следует проектировать по нормам, установленным для малых городов; </w:t>
      </w:r>
    </w:p>
    <w:p w:rsidR="001076BF" w:rsidRPr="00B81BF1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поселки при предприятиях и объектах, не имеющие статуса поселка городского типа, следует проектировать по ведомственным нормам, а при их отсутствии - по нормам, установленным для сельских населенных пунктов соответствующей численности; </w:t>
      </w:r>
    </w:p>
    <w:p w:rsidR="001076BF" w:rsidRDefault="001076BF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B81BF1">
        <w:rPr>
          <w:color w:val="auto"/>
        </w:rPr>
        <w:t xml:space="preserve">населенные пункты с особым режимом градостроительной деятельности (закрытые и обособленные военные городки, вахтовые поселки, метеостанции и т.д.) следует проектировать на основании ведомственных нормативных документов. </w:t>
      </w:r>
    </w:p>
    <w:p w:rsidR="001A2F70" w:rsidRPr="001A2F70" w:rsidRDefault="001A2F70" w:rsidP="00DB4AC3">
      <w:pPr>
        <w:pStyle w:val="Default"/>
        <w:spacing w:line="360" w:lineRule="auto"/>
        <w:ind w:firstLine="567"/>
        <w:jc w:val="both"/>
        <w:rPr>
          <w:color w:val="auto"/>
        </w:rPr>
      </w:pPr>
      <w:proofErr w:type="gramStart"/>
      <w:r>
        <w:rPr>
          <w:color w:val="auto"/>
        </w:rPr>
        <w:t>1.</w:t>
      </w:r>
      <w:r w:rsidR="0004185C">
        <w:rPr>
          <w:color w:val="auto"/>
        </w:rPr>
        <w:t>8</w:t>
      </w:r>
      <w:r>
        <w:rPr>
          <w:color w:val="auto"/>
        </w:rPr>
        <w:t xml:space="preserve"> </w:t>
      </w:r>
      <w:r w:rsidRPr="001A2F70">
        <w:rPr>
          <w:color w:val="auto"/>
        </w:rPr>
        <w:t>Расчетные показатели минимально допустимого уровня обеспеченности населения</w:t>
      </w:r>
      <w:r>
        <w:rPr>
          <w:color w:val="auto"/>
        </w:rPr>
        <w:t xml:space="preserve"> </w:t>
      </w:r>
      <w:r w:rsidRPr="001A2F70">
        <w:rPr>
          <w:color w:val="auto"/>
        </w:rPr>
        <w:t>муниципальных образований объектами местного значения, устанавливаемые местными</w:t>
      </w:r>
      <w:r>
        <w:rPr>
          <w:color w:val="auto"/>
        </w:rPr>
        <w:t xml:space="preserve"> </w:t>
      </w:r>
      <w:r w:rsidRPr="001A2F70">
        <w:rPr>
          <w:color w:val="auto"/>
        </w:rPr>
        <w:t>нормативами градостроительного проектирования, не могут быть ниже предельных значений расчетных показателей минимально допустимого уровня обеспеченности, установленных в региональных нормативах градостроительного проектирования.</w:t>
      </w:r>
      <w:proofErr w:type="gramEnd"/>
    </w:p>
    <w:p w:rsidR="001A2F70" w:rsidRDefault="001A2F70" w:rsidP="00DB4AC3">
      <w:pPr>
        <w:pStyle w:val="Default"/>
        <w:spacing w:line="360" w:lineRule="auto"/>
        <w:ind w:firstLine="567"/>
        <w:jc w:val="both"/>
        <w:rPr>
          <w:color w:val="auto"/>
        </w:rPr>
      </w:pPr>
      <w:r w:rsidRPr="001A2F70">
        <w:rPr>
          <w:color w:val="auto"/>
        </w:rPr>
        <w:t>Расчетные показатели максимально допустимого уровня территориальной</w:t>
      </w:r>
      <w:r>
        <w:rPr>
          <w:color w:val="auto"/>
        </w:rPr>
        <w:t xml:space="preserve"> </w:t>
      </w:r>
      <w:r w:rsidRPr="001A2F70">
        <w:rPr>
          <w:color w:val="auto"/>
        </w:rPr>
        <w:t>доступности объектов местного значения для населения муниципальных образований не</w:t>
      </w:r>
      <w:r>
        <w:rPr>
          <w:color w:val="auto"/>
        </w:rPr>
        <w:t xml:space="preserve"> </w:t>
      </w:r>
      <w:r w:rsidRPr="001A2F70">
        <w:rPr>
          <w:color w:val="auto"/>
        </w:rPr>
        <w:t>могут превышать предельные значения расчетных показателей максимально допустимого</w:t>
      </w:r>
      <w:r>
        <w:rPr>
          <w:color w:val="auto"/>
        </w:rPr>
        <w:t xml:space="preserve"> </w:t>
      </w:r>
      <w:r w:rsidRPr="001A2F70">
        <w:rPr>
          <w:color w:val="auto"/>
        </w:rPr>
        <w:t>уровня территориальной доступности, установленных в региональных нормативах</w:t>
      </w:r>
      <w:r>
        <w:rPr>
          <w:color w:val="auto"/>
        </w:rPr>
        <w:t xml:space="preserve"> </w:t>
      </w:r>
      <w:r w:rsidRPr="001A2F70">
        <w:rPr>
          <w:color w:val="auto"/>
        </w:rPr>
        <w:t>градостроительного проектирования.</w:t>
      </w:r>
    </w:p>
    <w:p w:rsidR="001A2F70" w:rsidRDefault="001A2F70" w:rsidP="001A2F70">
      <w:pPr>
        <w:pStyle w:val="Default"/>
        <w:ind w:firstLine="567"/>
        <w:jc w:val="both"/>
        <w:rPr>
          <w:color w:val="auto"/>
        </w:rPr>
      </w:pP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 xml:space="preserve">2. ПРАВИЛА ПРИМЕНЕНИЯ 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ПРЕДЕЛЬНЫХ ЗНАЧЕНИЙ РАСЧЕТНЫХ ПОКАЗАТЕЛЕЙ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МИНИМАЛЬНО ДОПУСТИМОГО УРОВНЯ ОБЕСПЕЧЕННОСТИ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ОБЪЕКТАМИ МЕСТНОГО ЗНАЧЕНИЯ И МАКСИМАЛЬНО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 xml:space="preserve">ДОПУСТИМОГО УРОВНЯ ТЕРРИТОРИАЛЬНОЙ ДОСТУПНОСТИ </w:t>
      </w:r>
      <w:proofErr w:type="gramStart"/>
      <w:r w:rsidRPr="001A2F70">
        <w:rPr>
          <w:b/>
          <w:bCs/>
          <w:sz w:val="22"/>
          <w:szCs w:val="22"/>
        </w:rPr>
        <w:t>ТАКИХ</w:t>
      </w:r>
      <w:proofErr w:type="gramEnd"/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 xml:space="preserve">ОБЪЕКТОВ ДЛЯ НАСЕЛЕНИЯ </w:t>
      </w:r>
      <w:r w:rsidRPr="002E437C">
        <w:rPr>
          <w:b/>
          <w:bCs/>
          <w:sz w:val="22"/>
          <w:szCs w:val="22"/>
        </w:rPr>
        <w:t>МУНИЦИПАЛЬН</w:t>
      </w:r>
      <w:r>
        <w:rPr>
          <w:b/>
          <w:bCs/>
          <w:sz w:val="22"/>
          <w:szCs w:val="22"/>
        </w:rPr>
        <w:t>ОГО</w:t>
      </w:r>
      <w:r w:rsidRPr="002E437C">
        <w:rPr>
          <w:b/>
          <w:bCs/>
          <w:sz w:val="22"/>
          <w:szCs w:val="22"/>
        </w:rPr>
        <w:t xml:space="preserve"> ОБРАЗОВАНИ</w:t>
      </w:r>
      <w:r>
        <w:rPr>
          <w:b/>
          <w:bCs/>
          <w:sz w:val="22"/>
          <w:szCs w:val="22"/>
        </w:rPr>
        <w:t>Я «ТАРБАГАТАЙСКИЙ РАЙОН» РЕСПУБЛИКИ БУРЯТИЯ</w:t>
      </w:r>
      <w:r w:rsidRPr="001A2F70">
        <w:rPr>
          <w:b/>
          <w:bCs/>
          <w:sz w:val="22"/>
          <w:szCs w:val="22"/>
        </w:rPr>
        <w:t>,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СОДЕРЖАЩИХСЯ В ОСНОВНОЙ ЧАСТИ НОРМАТИВОВ</w:t>
      </w:r>
    </w:p>
    <w:p w:rsidR="001A2F70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ГРАДОСТРОИТЕЛЬНОГО ПРОЕКТИРОВАНИЯ, ПРИ ПОДГОТОВКЕ</w:t>
      </w:r>
    </w:p>
    <w:p w:rsidR="00F646DD" w:rsidRPr="001A2F70" w:rsidRDefault="001A2F70" w:rsidP="001A2F70">
      <w:pPr>
        <w:pStyle w:val="Default"/>
        <w:jc w:val="center"/>
        <w:rPr>
          <w:b/>
          <w:bCs/>
          <w:sz w:val="22"/>
          <w:szCs w:val="22"/>
        </w:rPr>
      </w:pPr>
      <w:r w:rsidRPr="001A2F70">
        <w:rPr>
          <w:b/>
          <w:bCs/>
          <w:sz w:val="22"/>
          <w:szCs w:val="22"/>
        </w:rPr>
        <w:t>ДОКУМЕНТОВ ТЕРРИТОРИАЛЬНОГО ПЛАНИРОВАНИЯ</w:t>
      </w:r>
    </w:p>
    <w:p w:rsidR="008429AC" w:rsidRPr="001A2F70" w:rsidRDefault="008429AC" w:rsidP="001A2F70">
      <w:pPr>
        <w:pStyle w:val="Default"/>
        <w:jc w:val="center"/>
        <w:rPr>
          <w:b/>
          <w:bCs/>
          <w:sz w:val="22"/>
          <w:szCs w:val="22"/>
        </w:rPr>
      </w:pPr>
    </w:p>
    <w:p w:rsidR="009662A8" w:rsidRPr="009662A8" w:rsidRDefault="009662A8" w:rsidP="00DB4A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2A8">
        <w:rPr>
          <w:rFonts w:ascii="Times New Roman" w:hAnsi="Times New Roman" w:cs="Times New Roman"/>
          <w:sz w:val="24"/>
          <w:szCs w:val="24"/>
        </w:rPr>
        <w:t>Установление совокупности расчетных показателей минимально допустимого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уровня обеспеченности объектами </w:t>
      </w:r>
      <w:r w:rsidR="00EF6A2D">
        <w:rPr>
          <w:rFonts w:ascii="Times New Roman" w:hAnsi="Times New Roman" w:cs="Times New Roman"/>
          <w:sz w:val="24"/>
          <w:szCs w:val="24"/>
        </w:rPr>
        <w:t>местного</w:t>
      </w:r>
      <w:r w:rsidRPr="009662A8">
        <w:rPr>
          <w:rFonts w:ascii="Times New Roman" w:hAnsi="Times New Roman" w:cs="Times New Roman"/>
          <w:sz w:val="24"/>
          <w:szCs w:val="24"/>
        </w:rPr>
        <w:t xml:space="preserve"> значения, установление максимально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допустимого уровня территориальной доступности таких объектов для населения </w:t>
      </w:r>
      <w:r w:rsidR="00277C5B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277C5B">
        <w:rPr>
          <w:rFonts w:ascii="Times New Roman" w:hAnsi="Times New Roman" w:cs="Times New Roman"/>
          <w:sz w:val="24"/>
          <w:szCs w:val="24"/>
        </w:rPr>
        <w:t>Тарбагатайский</w:t>
      </w:r>
      <w:proofErr w:type="spellEnd"/>
      <w:r w:rsidR="00277C5B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EF6A2D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необходимы для определения местоположения планируемых к размещению объектов </w:t>
      </w:r>
      <w:r w:rsidR="003C7DEC">
        <w:rPr>
          <w:rFonts w:ascii="Times New Roman" w:hAnsi="Times New Roman" w:cs="Times New Roman"/>
          <w:sz w:val="24"/>
          <w:szCs w:val="24"/>
        </w:rPr>
        <w:t>мест</w:t>
      </w:r>
      <w:r w:rsidRPr="009662A8">
        <w:rPr>
          <w:rFonts w:ascii="Times New Roman" w:hAnsi="Times New Roman" w:cs="Times New Roman"/>
          <w:sz w:val="24"/>
          <w:szCs w:val="24"/>
        </w:rPr>
        <w:t>ного значения в документах территориального планирования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(схемах территориального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планирования муниципальных районов, генеральных планах городских округов и поселений) и в документации по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планировке территории в целях обеспечения благоприятных</w:t>
      </w:r>
      <w:proofErr w:type="gramEnd"/>
      <w:r w:rsidRPr="009662A8">
        <w:rPr>
          <w:rFonts w:ascii="Times New Roman" w:hAnsi="Times New Roman" w:cs="Times New Roman"/>
          <w:sz w:val="24"/>
          <w:szCs w:val="24"/>
        </w:rPr>
        <w:t xml:space="preserve"> условий жизнедеятельности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населения на территории </w:t>
      </w:r>
      <w:r w:rsidR="003C7DEC">
        <w:rPr>
          <w:rFonts w:ascii="Times New Roman" w:hAnsi="Times New Roman" w:cs="Times New Roman"/>
          <w:sz w:val="24"/>
          <w:szCs w:val="24"/>
        </w:rPr>
        <w:t>Бурятии</w:t>
      </w:r>
      <w:r w:rsidRPr="009662A8">
        <w:rPr>
          <w:rFonts w:ascii="Times New Roman" w:hAnsi="Times New Roman" w:cs="Times New Roman"/>
          <w:sz w:val="24"/>
          <w:szCs w:val="24"/>
        </w:rPr>
        <w:t>.</w:t>
      </w:r>
    </w:p>
    <w:p w:rsidR="009662A8" w:rsidRPr="009662A8" w:rsidRDefault="009662A8" w:rsidP="00DB4A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2A8">
        <w:rPr>
          <w:rFonts w:ascii="Times New Roman" w:hAnsi="Times New Roman" w:cs="Times New Roman"/>
          <w:sz w:val="24"/>
          <w:szCs w:val="24"/>
        </w:rPr>
        <w:t xml:space="preserve">Определение местоположения планируемого к размещению объекта </w:t>
      </w:r>
      <w:r w:rsidR="00CA4928">
        <w:rPr>
          <w:rFonts w:ascii="Times New Roman" w:hAnsi="Times New Roman" w:cs="Times New Roman"/>
          <w:sz w:val="24"/>
          <w:szCs w:val="24"/>
        </w:rPr>
        <w:t>муниципального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значения следует осуществлять исходя из минимально</w:t>
      </w:r>
      <w:r w:rsidR="00CA4928">
        <w:rPr>
          <w:rFonts w:ascii="Times New Roman" w:hAnsi="Times New Roman" w:cs="Times New Roman"/>
          <w:sz w:val="24"/>
          <w:szCs w:val="24"/>
        </w:rPr>
        <w:t xml:space="preserve"> допустимого уровня обеспеченно</w:t>
      </w:r>
      <w:r w:rsidRPr="009662A8">
        <w:rPr>
          <w:rFonts w:ascii="Times New Roman" w:hAnsi="Times New Roman" w:cs="Times New Roman"/>
          <w:sz w:val="24"/>
          <w:szCs w:val="24"/>
        </w:rPr>
        <w:t>сти объектами, установленного настоящими нормативами, и максимально допустимого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уровня территориальной доступности того или иного о</w:t>
      </w:r>
      <w:r w:rsidR="00277C5B">
        <w:rPr>
          <w:rFonts w:ascii="Times New Roman" w:hAnsi="Times New Roman" w:cs="Times New Roman"/>
          <w:sz w:val="24"/>
          <w:szCs w:val="24"/>
        </w:rPr>
        <w:t>бъекта, установленного настоящи</w:t>
      </w:r>
      <w:r w:rsidRPr="009662A8">
        <w:rPr>
          <w:rFonts w:ascii="Times New Roman" w:hAnsi="Times New Roman" w:cs="Times New Roman"/>
          <w:sz w:val="24"/>
          <w:szCs w:val="24"/>
        </w:rPr>
        <w:t>ми нормативами в целях градостроительного проектирования.</w:t>
      </w:r>
    </w:p>
    <w:p w:rsidR="008429AC" w:rsidRDefault="009662A8" w:rsidP="00DB4A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2A8">
        <w:rPr>
          <w:rFonts w:ascii="Times New Roman" w:hAnsi="Times New Roman" w:cs="Times New Roman"/>
          <w:sz w:val="24"/>
          <w:szCs w:val="24"/>
        </w:rPr>
        <w:t>Перечень нормируемых показателей, применяемых при разработке документов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территориального планирования (схемы территориального планирования </w:t>
      </w:r>
      <w:r w:rsidR="00BC19EE"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9662A8">
        <w:rPr>
          <w:rFonts w:ascii="Times New Roman" w:hAnsi="Times New Roman" w:cs="Times New Roman"/>
          <w:sz w:val="24"/>
          <w:szCs w:val="24"/>
        </w:rPr>
        <w:t xml:space="preserve"> (СТП </w:t>
      </w:r>
      <w:r w:rsidR="00BC19EE">
        <w:rPr>
          <w:rFonts w:ascii="Times New Roman" w:hAnsi="Times New Roman" w:cs="Times New Roman"/>
          <w:sz w:val="24"/>
          <w:szCs w:val="24"/>
        </w:rPr>
        <w:t>РБ</w:t>
      </w:r>
      <w:r w:rsidRPr="009662A8">
        <w:rPr>
          <w:rFonts w:ascii="Times New Roman" w:hAnsi="Times New Roman" w:cs="Times New Roman"/>
          <w:sz w:val="24"/>
          <w:szCs w:val="24"/>
        </w:rPr>
        <w:t>), схемы территориального планирования муниципального района (СТП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МР), генеральных планов городских округов (ГП ГО), </w:t>
      </w:r>
      <w:r w:rsidR="00277C5B">
        <w:rPr>
          <w:rFonts w:ascii="Times New Roman" w:hAnsi="Times New Roman" w:cs="Times New Roman"/>
          <w:sz w:val="24"/>
          <w:szCs w:val="24"/>
        </w:rPr>
        <w:t>генеральных планов городских по</w:t>
      </w:r>
      <w:r w:rsidRPr="009662A8">
        <w:rPr>
          <w:rFonts w:ascii="Times New Roman" w:hAnsi="Times New Roman" w:cs="Times New Roman"/>
          <w:sz w:val="24"/>
          <w:szCs w:val="24"/>
        </w:rPr>
        <w:t>селений (ГП ГП), генеральных планов сельских поселений (ГП СП)) и документации по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>планировке территорий (ДПТ) (проектов планировки территории, проектов межевания</w:t>
      </w:r>
      <w:r w:rsidR="00277C5B">
        <w:rPr>
          <w:rFonts w:ascii="Times New Roman" w:hAnsi="Times New Roman" w:cs="Times New Roman"/>
          <w:sz w:val="24"/>
          <w:szCs w:val="24"/>
        </w:rPr>
        <w:t xml:space="preserve"> </w:t>
      </w:r>
      <w:r w:rsidRPr="009662A8">
        <w:rPr>
          <w:rFonts w:ascii="Times New Roman" w:hAnsi="Times New Roman" w:cs="Times New Roman"/>
          <w:sz w:val="24"/>
          <w:szCs w:val="24"/>
        </w:rPr>
        <w:t xml:space="preserve">территории), приведен в таблице </w:t>
      </w:r>
      <w:r w:rsidR="008931BD">
        <w:rPr>
          <w:rFonts w:ascii="Times New Roman" w:hAnsi="Times New Roman" w:cs="Times New Roman"/>
          <w:sz w:val="24"/>
          <w:szCs w:val="24"/>
        </w:rPr>
        <w:t>№</w:t>
      </w:r>
      <w:r w:rsidRPr="009662A8">
        <w:rPr>
          <w:rFonts w:ascii="Times New Roman" w:hAnsi="Times New Roman" w:cs="Times New Roman"/>
          <w:sz w:val="24"/>
          <w:szCs w:val="24"/>
        </w:rPr>
        <w:t>1.</w:t>
      </w:r>
      <w:proofErr w:type="gramEnd"/>
    </w:p>
    <w:sectPr w:rsidR="008429AC" w:rsidSect="00CA4928">
      <w:footerReference w:type="default" r:id="rId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4AE" w:rsidRDefault="001764AE" w:rsidP="00001BD4">
      <w:pPr>
        <w:spacing w:after="0" w:line="240" w:lineRule="auto"/>
      </w:pPr>
      <w:r>
        <w:separator/>
      </w:r>
    </w:p>
  </w:endnote>
  <w:endnote w:type="continuationSeparator" w:id="0">
    <w:p w:rsidR="001764AE" w:rsidRDefault="001764AE" w:rsidP="0000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6375590"/>
      <w:docPartObj>
        <w:docPartGallery w:val="Page Numbers (Bottom of Page)"/>
        <w:docPartUnique/>
      </w:docPartObj>
    </w:sdtPr>
    <w:sdtEndPr/>
    <w:sdtContent>
      <w:p w:rsidR="00DB4AC3" w:rsidRDefault="00DB4AC3">
        <w:pPr>
          <w:pStyle w:val="a6"/>
          <w:jc w:val="right"/>
        </w:pPr>
      </w:p>
      <w:p w:rsidR="00DB4AC3" w:rsidRDefault="00DB4AC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ACF">
          <w:rPr>
            <w:noProof/>
          </w:rPr>
          <w:t>4</w:t>
        </w:r>
        <w:r>
          <w:fldChar w:fldCharType="end"/>
        </w:r>
      </w:p>
    </w:sdtContent>
  </w:sdt>
  <w:p w:rsidR="00A3423D" w:rsidRDefault="00A342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4AE" w:rsidRDefault="001764AE" w:rsidP="00001BD4">
      <w:pPr>
        <w:spacing w:after="0" w:line="240" w:lineRule="auto"/>
      </w:pPr>
      <w:r>
        <w:separator/>
      </w:r>
    </w:p>
  </w:footnote>
  <w:footnote w:type="continuationSeparator" w:id="0">
    <w:p w:rsidR="001764AE" w:rsidRDefault="001764AE" w:rsidP="0000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7BB1"/>
    <w:multiLevelType w:val="hybridMultilevel"/>
    <w:tmpl w:val="36E2DA10"/>
    <w:lvl w:ilvl="0" w:tplc="DCF67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025"/>
    <w:rsid w:val="00001BD4"/>
    <w:rsid w:val="00026305"/>
    <w:rsid w:val="00030203"/>
    <w:rsid w:val="00035B86"/>
    <w:rsid w:val="0004185C"/>
    <w:rsid w:val="00056C52"/>
    <w:rsid w:val="00087BA3"/>
    <w:rsid w:val="001076BF"/>
    <w:rsid w:val="00171105"/>
    <w:rsid w:val="001764AE"/>
    <w:rsid w:val="001A0ED5"/>
    <w:rsid w:val="001A2F70"/>
    <w:rsid w:val="001A56BF"/>
    <w:rsid w:val="001A6E72"/>
    <w:rsid w:val="001D4BFC"/>
    <w:rsid w:val="0023063E"/>
    <w:rsid w:val="002512F9"/>
    <w:rsid w:val="00256838"/>
    <w:rsid w:val="00277C5B"/>
    <w:rsid w:val="00295A86"/>
    <w:rsid w:val="002E437C"/>
    <w:rsid w:val="002F594D"/>
    <w:rsid w:val="00336918"/>
    <w:rsid w:val="0034393A"/>
    <w:rsid w:val="00377AFF"/>
    <w:rsid w:val="00380F2E"/>
    <w:rsid w:val="003A108D"/>
    <w:rsid w:val="003A3E01"/>
    <w:rsid w:val="003A75EB"/>
    <w:rsid w:val="003C5322"/>
    <w:rsid w:val="003C7DEC"/>
    <w:rsid w:val="003E0211"/>
    <w:rsid w:val="00437D6C"/>
    <w:rsid w:val="004727C1"/>
    <w:rsid w:val="00480330"/>
    <w:rsid w:val="004915DA"/>
    <w:rsid w:val="00496AFC"/>
    <w:rsid w:val="004A3C63"/>
    <w:rsid w:val="004A560A"/>
    <w:rsid w:val="004A6C4B"/>
    <w:rsid w:val="004C1D48"/>
    <w:rsid w:val="004E52A8"/>
    <w:rsid w:val="004F6118"/>
    <w:rsid w:val="0050689B"/>
    <w:rsid w:val="0051062C"/>
    <w:rsid w:val="00520DFF"/>
    <w:rsid w:val="005813B2"/>
    <w:rsid w:val="005A1025"/>
    <w:rsid w:val="005B7D84"/>
    <w:rsid w:val="00616D45"/>
    <w:rsid w:val="00656BE3"/>
    <w:rsid w:val="0067125A"/>
    <w:rsid w:val="007A2269"/>
    <w:rsid w:val="007C1F0E"/>
    <w:rsid w:val="00807307"/>
    <w:rsid w:val="00821811"/>
    <w:rsid w:val="0082485D"/>
    <w:rsid w:val="0083743C"/>
    <w:rsid w:val="008429AC"/>
    <w:rsid w:val="00850A88"/>
    <w:rsid w:val="0085445C"/>
    <w:rsid w:val="00881305"/>
    <w:rsid w:val="00890557"/>
    <w:rsid w:val="008931BD"/>
    <w:rsid w:val="00896271"/>
    <w:rsid w:val="008D18D2"/>
    <w:rsid w:val="009164AE"/>
    <w:rsid w:val="0093284D"/>
    <w:rsid w:val="00956B37"/>
    <w:rsid w:val="009662A8"/>
    <w:rsid w:val="009B61B5"/>
    <w:rsid w:val="00A3423D"/>
    <w:rsid w:val="00A3714C"/>
    <w:rsid w:val="00AD4A24"/>
    <w:rsid w:val="00AE45D8"/>
    <w:rsid w:val="00B02C89"/>
    <w:rsid w:val="00B26C91"/>
    <w:rsid w:val="00B81BCB"/>
    <w:rsid w:val="00B81BF1"/>
    <w:rsid w:val="00B90C5C"/>
    <w:rsid w:val="00BC19EE"/>
    <w:rsid w:val="00BC5FEC"/>
    <w:rsid w:val="00BF2874"/>
    <w:rsid w:val="00BF77E3"/>
    <w:rsid w:val="00C1727C"/>
    <w:rsid w:val="00C17690"/>
    <w:rsid w:val="00C5000D"/>
    <w:rsid w:val="00C5562F"/>
    <w:rsid w:val="00CA3ACF"/>
    <w:rsid w:val="00CA4928"/>
    <w:rsid w:val="00CB0E06"/>
    <w:rsid w:val="00CB42DE"/>
    <w:rsid w:val="00CD3A58"/>
    <w:rsid w:val="00D353D0"/>
    <w:rsid w:val="00D44410"/>
    <w:rsid w:val="00D77C7C"/>
    <w:rsid w:val="00DB4AC3"/>
    <w:rsid w:val="00DB5A98"/>
    <w:rsid w:val="00DD1A99"/>
    <w:rsid w:val="00DF6971"/>
    <w:rsid w:val="00E97744"/>
    <w:rsid w:val="00EB4E46"/>
    <w:rsid w:val="00EE26C8"/>
    <w:rsid w:val="00EF6A2D"/>
    <w:rsid w:val="00F646DD"/>
    <w:rsid w:val="00FC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001BD4"/>
  </w:style>
  <w:style w:type="paragraph" w:styleId="a4">
    <w:name w:val="header"/>
    <w:basedOn w:val="a"/>
    <w:link w:val="a5"/>
    <w:uiPriority w:val="99"/>
    <w:unhideWhenUsed/>
    <w:rsid w:val="0000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BD4"/>
  </w:style>
  <w:style w:type="paragraph" w:styleId="a6">
    <w:name w:val="footer"/>
    <w:basedOn w:val="a"/>
    <w:link w:val="a7"/>
    <w:uiPriority w:val="99"/>
    <w:unhideWhenUsed/>
    <w:rsid w:val="0000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BD4"/>
  </w:style>
  <w:style w:type="paragraph" w:styleId="a8">
    <w:name w:val="Balloon Text"/>
    <w:basedOn w:val="a"/>
    <w:link w:val="a9"/>
    <w:uiPriority w:val="99"/>
    <w:semiHidden/>
    <w:unhideWhenUsed/>
    <w:rsid w:val="0088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3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22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1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line number"/>
    <w:basedOn w:val="a0"/>
    <w:uiPriority w:val="99"/>
    <w:semiHidden/>
    <w:unhideWhenUsed/>
    <w:rsid w:val="00001BD4"/>
  </w:style>
  <w:style w:type="paragraph" w:styleId="a4">
    <w:name w:val="header"/>
    <w:basedOn w:val="a"/>
    <w:link w:val="a5"/>
    <w:uiPriority w:val="99"/>
    <w:unhideWhenUsed/>
    <w:rsid w:val="0000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BD4"/>
  </w:style>
  <w:style w:type="paragraph" w:styleId="a6">
    <w:name w:val="footer"/>
    <w:basedOn w:val="a"/>
    <w:link w:val="a7"/>
    <w:uiPriority w:val="99"/>
    <w:unhideWhenUsed/>
    <w:rsid w:val="0000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BD4"/>
  </w:style>
  <w:style w:type="paragraph" w:styleId="a8">
    <w:name w:val="Balloon Text"/>
    <w:basedOn w:val="a"/>
    <w:link w:val="a9"/>
    <w:uiPriority w:val="99"/>
    <w:semiHidden/>
    <w:unhideWhenUsed/>
    <w:rsid w:val="00881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130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49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91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2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2017-09-25T00:40:00Z</dcterms:created>
  <dcterms:modified xsi:type="dcterms:W3CDTF">2017-09-25T00:40:00Z</dcterms:modified>
</cp:coreProperties>
</file>