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4" w:rsidRPr="00B74894" w:rsidRDefault="00B74894" w:rsidP="00B74894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b/>
          <w:color w:val="C00000"/>
          <w:sz w:val="27"/>
          <w:szCs w:val="27"/>
          <w:u w:val="single"/>
        </w:rPr>
      </w:pPr>
      <w:r w:rsidRPr="00B74894">
        <w:rPr>
          <w:rFonts w:ascii="Arial" w:hAnsi="Arial" w:cs="Arial"/>
          <w:b/>
          <w:color w:val="C00000"/>
          <w:sz w:val="27"/>
          <w:szCs w:val="27"/>
          <w:u w:val="single"/>
        </w:rPr>
        <w:t>Информационный листок</w:t>
      </w:r>
    </w:p>
    <w:p w:rsidR="00B74894" w:rsidRPr="00B74894" w:rsidRDefault="00B74894" w:rsidP="00B74894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b/>
          <w:color w:val="C00000"/>
          <w:sz w:val="27"/>
          <w:szCs w:val="27"/>
        </w:rPr>
      </w:pPr>
      <w:r w:rsidRPr="00B74894">
        <w:rPr>
          <w:rFonts w:ascii="Arial" w:hAnsi="Arial" w:cs="Arial"/>
          <w:b/>
          <w:color w:val="C00000"/>
          <w:sz w:val="27"/>
          <w:szCs w:val="27"/>
        </w:rPr>
        <w:t>об ответственности виновных лиц за нарушение трудового законодательства и иных нормативных правовых актов, содержащих нормы трудового права</w:t>
      </w:r>
    </w:p>
    <w:p w:rsidR="00B74894" w:rsidRPr="00B74894" w:rsidRDefault="00B74894" w:rsidP="00B74894">
      <w:pPr>
        <w:pStyle w:val="a3"/>
        <w:shd w:val="clear" w:color="auto" w:fill="F3F2F2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B74894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B74894" w:rsidRPr="00B74894" w:rsidRDefault="00B74894" w:rsidP="00B74894">
      <w:pPr>
        <w:pStyle w:val="a3"/>
        <w:shd w:val="clear" w:color="auto" w:fill="F3F2F2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2E50BE">
        <w:rPr>
          <w:rFonts w:ascii="Arial" w:hAnsi="Arial" w:cs="Arial"/>
          <w:b/>
          <w:color w:val="000000" w:themeColor="text1"/>
          <w:sz w:val="27"/>
          <w:szCs w:val="27"/>
        </w:rPr>
        <w:t>Согласно ст.362</w:t>
      </w:r>
      <w:r w:rsidRPr="00B74894">
        <w:rPr>
          <w:rFonts w:ascii="Arial" w:hAnsi="Arial" w:cs="Arial"/>
          <w:color w:val="000000" w:themeColor="text1"/>
          <w:sz w:val="27"/>
          <w:szCs w:val="27"/>
        </w:rPr>
        <w:t xml:space="preserve"> Трудового кодекса РФ 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настоящим Кодексом и иными федеральными законами.</w:t>
      </w:r>
    </w:p>
    <w:p w:rsidR="00B74894" w:rsidRPr="00B74894" w:rsidRDefault="00B74894" w:rsidP="00B74894">
      <w:pPr>
        <w:pStyle w:val="a3"/>
        <w:shd w:val="clear" w:color="auto" w:fill="F3F2F2"/>
        <w:spacing w:before="0" w:beforeAutospacing="0" w:after="240" w:afterAutospacing="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B74894">
        <w:rPr>
          <w:rFonts w:ascii="Arial" w:hAnsi="Arial" w:cs="Arial"/>
          <w:color w:val="000000" w:themeColor="text1"/>
          <w:sz w:val="27"/>
          <w:szCs w:val="27"/>
        </w:rPr>
        <w:t>Ниже приводятся основные санкции, по которым работодателя могут привлечь к административной и уголовной ответственности за нарушение законодательства о труде и об охране труда.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АДМИНИСТРАТИВНАЯ ОТВЕТСТВЕННОСТЬ</w:t>
      </w:r>
    </w:p>
    <w:p w:rsidR="00B74894" w:rsidRPr="00B74894" w:rsidRDefault="00B74894" w:rsidP="00B74894">
      <w:pPr>
        <w:shd w:val="clear" w:color="auto" w:fill="F3F2F2"/>
        <w:spacing w:after="48" w:line="240" w:lineRule="auto"/>
        <w:jc w:val="both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Статья 5.27 КоАП РФ. Нарушение трудового законодательства и иных нормативных правовых актов, содержащих нормы трудового права (действующая редакция)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административное правонарушение,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3.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4.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5. Совершение административных правонарушений, предусмотренных частью 3 или 4 настоящей статьи, лицом, ранее подвергнутым административному наказанию за аналогичное административное правонарушение,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6.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законодательством, -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7.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5.27.1 КоАП РФ "Нарушение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Федерации"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2 - 4 настоящей статьи и частью 3 статьи </w:t>
      </w:r>
      <w:hyperlink r:id="rId6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11.23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настоящего Кодекса,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2.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непроведение</w:t>
      </w:r>
      <w:proofErr w:type="spell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-</w:t>
      </w:r>
      <w:r w:rsidR="002E50B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3.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-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4. Необеспечение работников средствами индивидуальной защиты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тридцати тысяч до ста пятидесяти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5. Совершение административных правонарушений, предусмотренных частями 1 - 4 настоящей статьи, лицом, ранее подвергнутым административному наказанию за аналогичное административное правонарушение, -</w:t>
      </w:r>
      <w:r w:rsidR="002E50BE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Примечание. Под средствами индивидуальной защиты в части 4 настоящей статьи следует понимать средства индивидуальной защиты, отнесенные техническим регламентом Таможенного союза "О безопасности средств индивидуальной защиты" ко 2 классу в зависимости от степени риска причинения вреда работнику.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5.28 КоАП РФ «Уклонение от участия в переговорах о заключении коллективного договора, соглашения либо нарушение установленного срока их заключения»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Уклонение работодателя или лица, его представляющего, от участия в переговорах о заключении, об изменении или о дополнении коллективного договора, соглашения либо нарушение установленного законом срока проведения переговоров, а равно необеспечение работы комиссии по заключению коллективного договора, соглашения в определенные сторонами сроки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в размере от одной тысячи до трех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lastRenderedPageBreak/>
        <w:t>Статья 5.29 КоАП РФ «</w:t>
      </w:r>
      <w:proofErr w:type="spellStart"/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Непредоставление</w:t>
      </w:r>
      <w:proofErr w:type="spellEnd"/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 xml:space="preserve"> информации, необходимой для проведения коллективных переговоров и осуществления </w:t>
      </w:r>
      <w:proofErr w:type="gramStart"/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контроля за</w:t>
      </w:r>
      <w:proofErr w:type="gramEnd"/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 xml:space="preserve"> соблюдением коллективного договора, соглашения»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spell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Непредоставление</w:t>
      </w:r>
      <w:proofErr w:type="spell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работодателем или лицом, его представляющим,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срок, установленный законом, информации, необходимой для проведения коллективных переговоров и осуществления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контроля за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соблюдением коллективного договора, соглашения,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в размере от одной тысячи до трех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5.30 КоАП РФ «Необоснованный отказ от заключения коллективного договора, соглашения»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Необоснованный отказ работодателя или лица, его представляющего, от заключения коллективного договора, соглашения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в размере от трех тысяч до пяти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5.31 КоАП РФ «Нарушение или невыполнение обязательств по коллективному договору, соглашению»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Нарушение или невыполнение работодателем или лицом, его представляющим, обязательств по коллективному договору, соглашению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в размере от трех тысяч до пяти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5.32 КоАП РФ «Уклонение от получения требований работников и от участия в примирительных процедурах»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Уклонение работодателя или его представителя от получения требований работников и от участия в примирительных процедурах, в том числе </w:t>
      </w:r>
      <w:proofErr w:type="spell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непредоставление</w:t>
      </w:r>
      <w:proofErr w:type="spell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помещения для проведения собрания (конференции) работников в целях выдвижения требований или создание препятствий проведению такого собрания (такой конференции),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в размере от одной тысячи до трех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5.33 КоАП РФ «Невыполнение соглашения»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Невыполнение работодателем или его представителем обязательств по соглашению, достигнутому в результате примирительной процедуры,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влечет наложение административного штрафа в размере от двух тысяч до четырех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5.34 КоАП РФ «Увольнение работников в связи с коллективным трудовым спором и объявлением забастовки»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Увольнение работников в связи с коллективным трудовым спором и объявлением забастовки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kern w:val="36"/>
          <w:sz w:val="27"/>
          <w:szCs w:val="27"/>
          <w:lang w:eastAsia="ru-RU"/>
        </w:rPr>
        <w:t xml:space="preserve">Статья 14.54 КоАП РФ «Нарушение установленного </w:t>
      </w:r>
      <w:proofErr w:type="gramStart"/>
      <w:r w:rsidRPr="00B74894">
        <w:rPr>
          <w:rFonts w:ascii="Arial" w:eastAsia="Times New Roman" w:hAnsi="Arial" w:cs="Arial"/>
          <w:b/>
          <w:color w:val="000000" w:themeColor="text1"/>
          <w:kern w:val="36"/>
          <w:sz w:val="27"/>
          <w:szCs w:val="27"/>
          <w:lang w:eastAsia="ru-RU"/>
        </w:rPr>
        <w:t>порядка проведения специальной оценки условий труда</w:t>
      </w:r>
      <w:proofErr w:type="gramEnd"/>
      <w:r w:rsidRPr="00B74894">
        <w:rPr>
          <w:rFonts w:ascii="Arial" w:eastAsia="Times New Roman" w:hAnsi="Arial" w:cs="Arial"/>
          <w:b/>
          <w:color w:val="000000" w:themeColor="text1"/>
          <w:kern w:val="36"/>
          <w:sz w:val="27"/>
          <w:szCs w:val="27"/>
          <w:lang w:eastAsia="ru-RU"/>
        </w:rPr>
        <w:t>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1. Нарушение организацией, проводившей специальную оценку условий труда, установленного </w:t>
      </w:r>
      <w:hyperlink r:id="rId7" w:anchor="dst100070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порядка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проведения специальной оценки условий труда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семидесяти тысяч до ста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 Совершение административного правонарушения, предусмотренного </w:t>
      </w:r>
      <w:hyperlink r:id="rId8" w:anchor="dst5700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частью 1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настоящей статьи, лицом, ранее подвергнутым административному наказанию за аналогичное административное правонарушение,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лет; на юридических лиц - в размере от ста тысяч до двухсот тысяч рублей или административное приостановление деятельности на срок до девяноста суток.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Примечание. Эксперт организации, проводившей специальную оценку условий труда, совершивший при проведении специальной оценки условий труда административное правонарушение, предусмотренное настоящей статьей, несет административную ответственность как должностное лицо.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15.33.2. КоАП РФ «Нарушение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Федерации» (введена Федеральным </w:t>
      </w:r>
      <w:hyperlink r:id="rId9" w:anchor="dst100697" w:history="1">
        <w:r w:rsidRPr="00B74894">
          <w:rPr>
            <w:rFonts w:ascii="Arial" w:eastAsia="Times New Roman" w:hAnsi="Arial" w:cs="Arial"/>
            <w:b/>
            <w:color w:val="000000" w:themeColor="text1"/>
            <w:sz w:val="27"/>
            <w:szCs w:val="27"/>
            <w:lang w:eastAsia="ru-RU"/>
          </w:rPr>
          <w:t>законом</w:t>
        </w:r>
      </w:hyperlink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 от 03.07.2016 N 250-ФЗ)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 </w:t>
      </w:r>
      <w:hyperlink r:id="rId10" w:anchor="dst100033" w:history="1">
        <w:proofErr w:type="gramStart"/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1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 Непредставление в установленный </w:t>
      </w:r>
      <w:hyperlink r:id="rId11" w:anchor="dst100079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законодательством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hyperlink r:id="rId12" w:anchor="dst9110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частью 2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настоящей статьи, - влечет наложение административного штрафа на должностных лиц в размере от трехсот до пятисот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(в ред. Федерального </w:t>
      </w:r>
      <w:hyperlink r:id="rId13" w:anchor="dst100033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закона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от 01.04.2020 N 90-ФЗ)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(см. те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кст в пр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едыдущей редакции)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 Непредставление в установленный Федеральным </w:t>
      </w:r>
      <w:hyperlink r:id="rId14" w:anchor="dst0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законом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 </w:t>
      </w:r>
      <w:hyperlink r:id="rId15" w:anchor="dst246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пунктом 2.1 статьи 6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указанного Федерального закона,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асть 2 введена Федеральным </w:t>
      </w:r>
      <w:hyperlink r:id="rId16" w:anchor="dst100034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законом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от 01.04.2020 N 90-ФЗ)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Примечание. Административная ответственность, установленная в отношении должностных лиц настоящей статьей, применяется к лицам, указанным в </w:t>
      </w:r>
      <w:hyperlink r:id="rId17" w:anchor="dst100051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статье 2.4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настоящего Кодекса, за исключением граждан, осуществляющих предпринимательскую деятельность без образования юридического лица.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римечание введено Федеральным </w:t>
      </w:r>
      <w:hyperlink r:id="rId18" w:anchor="dst100008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законом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от 16.12.2019 N 444-ФЗ)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19.4 КоАП РФ «Неповиновение законному распоряжению должностного лица органа, осуществляющего государственный надзор (контроль), муниципальный контроль»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lastRenderedPageBreak/>
        <w:t>Статья 19.4.1 КоАП РФ «Воспрепятствование законной деятельности должностного лица органа государственного контроля (надзора), органа муниципального контроля»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 и частью 9 статьи 15.29 и статьей 19.4.2. настоящего Кодекса,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 Действия (бездействие), предусмотренные частью 1 настоящей статьи, повлекшие невозможность проведения или завершения проверки,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 Повторное совершение административного правонарушения, предусмотренного частью 2 настоящей статьи,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19.5 КоАП РФ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 об устранении нарушений законодательства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Часть 23. Невыполнение в установленный срок или ненадлежащее выполнение законного предписания должностного лица федерального </w:t>
      </w: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права, - 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двухсот тысяч рублей.</w:t>
      </w:r>
      <w:proofErr w:type="gramEnd"/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kern w:val="36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kern w:val="36"/>
          <w:sz w:val="27"/>
          <w:szCs w:val="27"/>
          <w:lang w:eastAsia="ru-RU"/>
        </w:rPr>
        <w:t>Статья 19.6 КоАП РФ «Непринятие мер по устранению причин и условий, способствовавших совершению административного правонарушения»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19.7 КоАП РФ «Непредставление сведений (информации)»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19.8, 19.8.3 настоящего Кодекса,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влечет предупреждение или наложение административного штрафа на граждан в размере от ста до трехсот рублей; на должностных лиц - от </w:t>
      </w: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трехсот до пятисот рублей; на юридических лиц - от трех тысяч до пяти тысяч рублей.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20.25 КоАП РФ «Уклонение от исполнения административного наказания»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1. Неуплата административного штрафа в срок, предусмотренный настоящим Кодексом,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УГОЛОВНАЯ ОТВЕТСТВЕННОСТЬ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145 УК РФ «Необоснованный отказ в приеме на работу или необоснованное увольнение беременной женщины или женщины, имеющей детей в возрасте до трех лет»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Статья 145.1 УК РФ «Невыплата заработной платы, пенсий, стипендий, пособий и иных выплат»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1.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Частичная невыплата свыше трех месяцев заработной платы, пенсий, стипендий, пособий и иных установленных законом выплат, совершенная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организации, - наказывается штрафом в размере до ста двадцати тысяч рублей или в размере заработной платы или иного дохода осужденного за период до одного года, либо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лишением права занимать определенные должности или заниматься определенной деятельностью на срок до одного года, либо принудительными работами на срок до двух лет, либо лишением свободы на срок до одного года.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 xml:space="preserve">2.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Полная невыплата свыше двух месяцев заработной платы, пенсий, стипендий,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труда, совершенные из корыстной или иной личной заинтересованности руководителем организации, работодателем - физическим лицом, руководителем филиала, представительства или иного обособленного структурного подразделения организации, -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наказывается штрафом 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 Деяния, предусмотренные частями первой или второй настоящей статьи, если они повлекли тяжкие последствия,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Примечание. Под частичной невыплатой заработной платы, пенсий, стипендий, пособий и иных установленных законом выплат в настоящей статье понимается осуществление платежа в размере менее половины подлежащей выплате суммы.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t>ИНФОРМАЦИОННЫЙ ЛИСТ ДЛЯ РАБОТОДАТЕЛЕЙ</w:t>
      </w:r>
    </w:p>
    <w:p w:rsidR="00B74894" w:rsidRPr="00B74894" w:rsidRDefault="00B74894" w:rsidP="002E50BE">
      <w:pPr>
        <w:shd w:val="clear" w:color="auto" w:fill="F3F2F2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Налог на доходы физических лиц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Организация (индивидуальный предприниматель) является налоговым агентом по НДФЛ, если физическое лицо получило от неё (него) доходы в денежной, натуральной форме или в виде материальной выгоды  (</w:t>
      </w:r>
      <w:hyperlink r:id="rId19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ст. 209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hyperlink r:id="rId20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п. 1 ст. 210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Налоговый агент исчисляет и удерживает налог с зарплаты работников, выплат по договорам подряда и оказания услуг, арендной платы, дивидендов и др. (</w:t>
      </w:r>
      <w:hyperlink r:id="rId21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п. 2 ст. 226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НК РФ).  При этом такое физическое лицо не должно относиться к категории лиц, которые уплачивают НДФЛ самостоятельно (</w:t>
      </w:r>
      <w:hyperlink r:id="rId22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п. п. 1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, </w:t>
      </w:r>
      <w:hyperlink r:id="rId23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2 ст. 227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Налоговые агенты обязаны перечислять суммы исчисленного и удержанного налога не позднее дня, следующего за днем выплаты налогоплательщику дохода (п.6 ст.226 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Отчетность налогового агента состоит из расчета формы 6-НДФЛ и в соответствии с Приказом ФНС России от 15.10.2020 N ЕД-7-11/753@ сведений о доходах физических лиц формы 2-НДФЛ.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Срок представления: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6-НДФЛ – ежеквартально, не позднее последнего дня месяца, следующего за соответствующим периодом, за год - не позднее 1 марта года, следующего за истекшим налоговым периодом.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 отчетности за 2021 г. справка </w:t>
      </w:r>
      <w:hyperlink r:id="rId24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2-НДФЛ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отменена, а сведения из справки включены в расчет </w:t>
      </w:r>
      <w:hyperlink r:id="rId25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6-НДФЛ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за год, форма которого утверждена Приказом ФНС России от 15.10.2020 N ЕД-7-11/753@ (</w:t>
      </w:r>
      <w:hyperlink r:id="rId26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 п. 2 ст. 230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Кроме того, в этот срок нужно не только сдать справку в налоговый орган, но и вручить справку о сумме неудержанного налога физическому лицу (</w:t>
      </w:r>
      <w:hyperlink r:id="rId27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п. 5 ст. 226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Уплата налога на доходы физических лиц и представление расчета 6 НДФЛ производятся налоговыми агентами по месту их фактического осуществления деятельности.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у налогового агента есть обособленное подразделение, то он сдает отчетность и уплачивает НДФЛ за работников этого обособленного подразделения по </w:t>
      </w:r>
      <w:hyperlink r:id="rId28" w:history="1">
        <w:r w:rsidRPr="00B74894">
          <w:rPr>
            <w:rFonts w:ascii="Arial" w:eastAsia="Times New Roman" w:hAnsi="Arial" w:cs="Arial"/>
            <w:color w:val="000000" w:themeColor="text1"/>
            <w:sz w:val="27"/>
            <w:szCs w:val="27"/>
            <w:lang w:eastAsia="ru-RU"/>
          </w:rPr>
          <w:t>месту его учета</w:t>
        </w:r>
      </w:hyperlink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обособленных подразделений на территории одного муниципального образования несколько, то налоговый агент – российская организация, вправе перечислять удержанные суммы НДФЛ в бюджет по месту нахождения одного из таких обособленных подразделений, выбранному налоговым агентом самостоятельно, а также представлять в отношении работников этих обособленных подразделений по месту учета выбранного обособленного подразделения справки по форме 2-НДФЛ и расчета по форме 6-НДФЛ.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При этом налоговый агент обязан уведомить о выборе налогового органа не позднее 1-го числа налогового периода налоговые органы, в которых он состоит на учете по месту нахождения каждого обособленного подразделения. Форма уведомления о выборе налогового органа утверждена приказом ФНС России от 06.12.2019 № ММВ-7-11/622@ «Об утверждении формы уведомления о выборе налогового органа, порядка ее заполнения, а также формата представления уведомления о выборе налогового органа в электронной форме» (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зарегистрирован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в Минюсте России 19.12.2019 № 56881).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lastRenderedPageBreak/>
        <w:t>Страховые взносы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Работодателями за своих работников уплачиваются страховые взносы, которые зачисляются в Пенсионный фонд, Фонд социального страхования, Фонд обязательного медицинского страхования. Плательщиками страховых взносов признаются лица, производящие выплаты физическим лицам: организации, индивидуальные предприниматели, физические лица, не являющиеся индивидуальными предпринимателями (п. 1ст. 419 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Объектом обложения являются выплаты и иные вознаграждения, начисляемые работодателями в пользу физических лиц по трудовым и гражданско-правовым договорам, предметом которых является выполнение работ, оказание услуг, а также по авторским договорам.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Работодатели уплачивают сумму страховых взносов, исчисленную для уплаты за календарный месяц, в срок не позднее 15-го числа следующего календарного месяца (п. 3 ст. 431 НК РФ).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sz w:val="27"/>
          <w:szCs w:val="27"/>
          <w:lang w:eastAsia="ru-RU"/>
        </w:rPr>
        <w:t>Срок представления: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Расчет по страховым взносам представляется, в срок не позднее 30-го числа месяца, следующего за расчетным (отчетным) периодом.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Пунктом 7 ст. 431 НК РФ предусмотрено, что в случае, если в представляемом расчете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содержатся ошибки такой расчет считается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непредставленным,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В пятидневный срок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с даты направления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в электронной форме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устранены несоответствия (ошибки).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Уплата страховых взносов и представление расчетов по страховым взносам производятся работодателями по месту их нахождения.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Если есть обособленные подразделения, то уплата страховых взносов и представление расчетов производятся по месту нахождения обособленных подразделений организации, для которых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(п. 7 ст.431 НК РФ).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b/>
          <w:color w:val="C00000"/>
          <w:sz w:val="27"/>
          <w:szCs w:val="27"/>
          <w:lang w:eastAsia="ru-RU"/>
        </w:rPr>
        <w:lastRenderedPageBreak/>
        <w:t>За нарушение налогового законодательства по налогу на доходы физических лиц и по страховым взносам предусмотрены штрафы:</w:t>
      </w:r>
    </w:p>
    <w:tbl>
      <w:tblPr>
        <w:tblW w:w="0" w:type="auto"/>
        <w:shd w:val="clear" w:color="auto" w:fill="F3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5141"/>
        <w:gridCol w:w="1368"/>
      </w:tblGrid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Нарушение срока представления расчета 6-НДФЛ*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Штраф в размере 1 000 руб. за каждый полный или неполный месяц со дня, установленного для его представления, и до дня, когда он был представлен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п. 1.2 ст. 126 НК РФ</w:t>
            </w:r>
          </w:p>
        </w:tc>
      </w:tr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Нарушение срока представления справки 2-НДФЛ *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Штраф в размере 200 руб. за каждую не сданную вовремя справку.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п. 1 ст. 126 НК РФ</w:t>
            </w:r>
          </w:p>
        </w:tc>
      </w:tr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Недостоверные сведения и ошибки в справках 2-НДФЛ* и расчете 6-НДФЛ*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Штраф в размере 500 руб. за каждый документ с ошибками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п. 1 ст. 126.1 НК РФ</w:t>
            </w:r>
          </w:p>
        </w:tc>
      </w:tr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Нарушение формы сдачи отчетности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Штраф в размере 200 руб.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ст. 119.1 НК РФ</w:t>
            </w:r>
          </w:p>
        </w:tc>
      </w:tr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Неудержание</w:t>
            </w:r>
            <w:proofErr w:type="spellEnd"/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, неуплата, несвоевременное перечисление НДФЛ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Штраф 20% неуплаченной суммы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hyperlink r:id="rId29" w:history="1">
              <w:r w:rsidRPr="00B74894">
                <w:rPr>
                  <w:rFonts w:ascii="Arial" w:eastAsia="Times New Roman" w:hAnsi="Arial" w:cs="Arial"/>
                  <w:color w:val="000000" w:themeColor="text1"/>
                  <w:sz w:val="27"/>
                  <w:szCs w:val="27"/>
                  <w:lang w:eastAsia="ru-RU"/>
                </w:rPr>
                <w:t>ст. 123</w:t>
              </w:r>
            </w:hyperlink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 НК РФ</w:t>
            </w:r>
          </w:p>
        </w:tc>
      </w:tr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Неуплата или неполная уплата страховых взносов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Штраф 20% от неуплаченной суммы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ст. 122 НК РФ</w:t>
            </w:r>
          </w:p>
        </w:tc>
      </w:tr>
      <w:tr w:rsidR="00B74894" w:rsidRPr="00B74894" w:rsidTr="00B74894"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Нарушение срока представления расчета по страховым взносам</w:t>
            </w:r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 xml:space="preserve">Штраф в размере 5 % не уплаченной в установленный законодательством о налогах и сборах срок суммы страховых взносов, подлежащей уплате (доплате) на основании расчета по страховым взносам, за каждый полный или неполный месяц со дня, установленного для ее представления, но не более 30 % </w:t>
            </w: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lastRenderedPageBreak/>
              <w:t>указанной суммы и не менее 1 000 рублей.</w:t>
            </w:r>
            <w:proofErr w:type="gramEnd"/>
          </w:p>
        </w:tc>
        <w:tc>
          <w:tcPr>
            <w:tcW w:w="0" w:type="auto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lastRenderedPageBreak/>
              <w:t>ст. 119 НК РФ</w:t>
            </w:r>
          </w:p>
        </w:tc>
      </w:tr>
      <w:tr w:rsidR="00B74894" w:rsidRPr="00B74894" w:rsidTr="00B74894">
        <w:tc>
          <w:tcPr>
            <w:tcW w:w="0" w:type="auto"/>
            <w:gridSpan w:val="3"/>
            <w:shd w:val="clear" w:color="auto" w:fill="F3F2F2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74894" w:rsidRPr="00B74894" w:rsidRDefault="00B74894" w:rsidP="00B7489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proofErr w:type="gramStart"/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lastRenderedPageBreak/>
              <w:t>За нарушение срока представления расчета 6-НДФЛ, расчета по страховым взносам, сведений о доходах 2-НДФЛ, за ошибки и недостоверные сведения в справках 2-НДФЛ и расчете 6-НДФЛ руководитель организации (финансовый директор, главный бухгалтер) может быть привлечен к административной ответственности в виде наложения административного штрафа в размере от 300 до 500 руб. (</w:t>
            </w:r>
            <w:proofErr w:type="spellStart"/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fldChar w:fldCharType="begin"/>
            </w: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instrText xml:space="preserve"> HYPERLINK "consultantplus://offline/ref=06E187289184D962F0DA1470303D99264C51E2C9FB498FEDA40AF23ACD231EBD4A310E78631D701EC88B051A5E2A261F931E28603BCCd3s7G" </w:instrText>
            </w: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fldChar w:fldCharType="separate"/>
            </w: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абз</w:t>
            </w:r>
            <w:proofErr w:type="spellEnd"/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. 2 ст. 2.4</w:t>
            </w: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fldChar w:fldCharType="end"/>
            </w:r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, </w:t>
            </w:r>
            <w:hyperlink r:id="rId30" w:history="1">
              <w:r w:rsidRPr="00B74894">
                <w:rPr>
                  <w:rFonts w:ascii="Arial" w:eastAsia="Times New Roman" w:hAnsi="Arial" w:cs="Arial"/>
                  <w:color w:val="000000" w:themeColor="text1"/>
                  <w:sz w:val="27"/>
                  <w:szCs w:val="27"/>
                  <w:lang w:eastAsia="ru-RU"/>
                </w:rPr>
                <w:t>ч. 1 ст. 15.6</w:t>
              </w:r>
            </w:hyperlink>
            <w:r w:rsidRPr="00B74894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> КоАП РФ).</w:t>
            </w:r>
            <w:proofErr w:type="gramEnd"/>
          </w:p>
        </w:tc>
      </w:tr>
    </w:tbl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</w:p>
    <w:p w:rsidR="00B74894" w:rsidRPr="00B74894" w:rsidRDefault="00B74894" w:rsidP="002E50BE">
      <w:pPr>
        <w:shd w:val="clear" w:color="auto" w:fill="F3F2F2"/>
        <w:spacing w:after="48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</w:pPr>
      <w:r w:rsidRPr="00B74894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Статья 143 УК РФ. Нарушение требований охраны труда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 1.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- 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месяцев, либо обязательными работами на срок от ста восьмидесяти до двухсот сорока часов, либо исправительными работами</w:t>
      </w:r>
      <w:proofErr w:type="gramEnd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на срок до двух лет, либо принудительными работами на срок до одного года,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2. Деяние, предусмотренное частью первой настоящей статьи, повлекшее по неосторожности смерть человека,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3. Деяние, предусмотренное частью первой настоящей статьи, повлекшее по неосторожности смерть двух или более лиц, -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Примечание. </w:t>
      </w:r>
      <w:proofErr w:type="gramStart"/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Под требованиями охраны труда в настоящей статье понимаются государственные нормативные требования охраны труда, содержащиеся в федеральных законах и иных нормативных правовых </w:t>
      </w: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lastRenderedPageBreak/>
        <w:t>актах Российской Федерации, законах и иных нормативных правовых актах субъектов Российской Федерации.</w:t>
      </w:r>
      <w:proofErr w:type="gramEnd"/>
    </w:p>
    <w:p w:rsidR="00B74894" w:rsidRPr="00B74894" w:rsidRDefault="00B74894" w:rsidP="00B74894">
      <w:pPr>
        <w:shd w:val="clear" w:color="auto" w:fill="F3F2F2"/>
        <w:spacing w:after="24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B74894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</w:p>
    <w:p w:rsidR="00B74894" w:rsidRPr="00B74894" w:rsidRDefault="00B74894" w:rsidP="002E50BE">
      <w:pPr>
        <w:shd w:val="clear" w:color="auto" w:fill="F3F2F2"/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36"/>
          <w:szCs w:val="36"/>
          <w:u w:val="single"/>
          <w:lang w:eastAsia="ru-RU"/>
        </w:rPr>
      </w:pPr>
      <w:r w:rsidRPr="00B74894">
        <w:rPr>
          <w:rFonts w:ascii="Arial" w:eastAsia="Times New Roman" w:hAnsi="Arial" w:cs="Arial"/>
          <w:b/>
          <w:color w:val="C00000"/>
          <w:sz w:val="36"/>
          <w:szCs w:val="36"/>
          <w:u w:val="single"/>
          <w:lang w:eastAsia="ru-RU"/>
        </w:rPr>
        <w:t>После рассмотрения всех санкций, к которым мо</w:t>
      </w:r>
      <w:bookmarkStart w:id="0" w:name="_GoBack"/>
      <w:bookmarkEnd w:id="0"/>
      <w:r w:rsidRPr="00B74894">
        <w:rPr>
          <w:rFonts w:ascii="Arial" w:eastAsia="Times New Roman" w:hAnsi="Arial" w:cs="Arial"/>
          <w:b/>
          <w:color w:val="C00000"/>
          <w:sz w:val="36"/>
          <w:szCs w:val="36"/>
          <w:u w:val="single"/>
          <w:lang w:eastAsia="ru-RU"/>
        </w:rPr>
        <w:t>жет быть подвергнут работодатель за нарушение трудового законодательства РФ, не остается сомнений в том, что лучше это законодательство полностью соблюдать</w:t>
      </w:r>
    </w:p>
    <w:p w:rsidR="00876F7D" w:rsidRPr="00B74894" w:rsidRDefault="00876F7D" w:rsidP="00B74894">
      <w:pPr>
        <w:jc w:val="both"/>
        <w:rPr>
          <w:color w:val="000000" w:themeColor="text1"/>
        </w:rPr>
      </w:pPr>
    </w:p>
    <w:sectPr w:rsidR="00876F7D" w:rsidRPr="00B7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0D"/>
    <w:rsid w:val="002E50BE"/>
    <w:rsid w:val="0079570D"/>
    <w:rsid w:val="00876F7D"/>
    <w:rsid w:val="00B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5044/234e108a0f7e0dda2012fc44694e1fa56f468c10/" TargetMode="External"/><Relationship Id="rId13" Type="http://schemas.openxmlformats.org/officeDocument/2006/relationships/hyperlink" Target="http://www.consultant.ru/document/cons_doc_LAW_349068/3d0cac60971a511280cbba229d9b6329c07731f7/" TargetMode="External"/><Relationship Id="rId18" Type="http://schemas.openxmlformats.org/officeDocument/2006/relationships/hyperlink" Target="http://www.consultant.ru/document/cons_doc_LAW_340242/" TargetMode="External"/><Relationship Id="rId26" Type="http://schemas.openxmlformats.org/officeDocument/2006/relationships/hyperlink" Target="consultantplus://offline/ref=4C5C3E99650FEA8F3F6F38CAECE7239A9EFAFE4DF38A2CAAE7E32735F618A86D6EDE1CA82DED13FE7EAECD55DE9ABF789BAF06943C2820YB3B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CCEC79701285EA34ABBDA6FFB7A782416FD21205B7CBDDA7CBDBD01A5FB3F19C4DA5651330A8111E24495296745AE35578D1E2059E88CW8Q9I" TargetMode="External"/><Relationship Id="rId7" Type="http://schemas.openxmlformats.org/officeDocument/2006/relationships/hyperlink" Target="http://www.consultant.ru/document/cons_doc_LAW_355882/2fb4cd806708ab2589845e61eabfcc090c58b651/" TargetMode="External"/><Relationship Id="rId12" Type="http://schemas.openxmlformats.org/officeDocument/2006/relationships/hyperlink" Target="http://www.consultant.ru/document/cons_doc_LAW_383440/e7e1bb27df7bb0895fe45b3c697d67a88f7346bf/" TargetMode="External"/><Relationship Id="rId17" Type="http://schemas.openxmlformats.org/officeDocument/2006/relationships/hyperlink" Target="http://www.consultant.ru/document/cons_doc_LAW_383440/de33c73dc4e364406642dc44f280f59154201a2e/" TargetMode="External"/><Relationship Id="rId25" Type="http://schemas.openxmlformats.org/officeDocument/2006/relationships/hyperlink" Target="consultantplus://offline/ref=4C5C3E99650FEA8F3F6F38CAECE7239A9EF4FA4EF0802CAAE7E32735F618A86D6EDE1CA825EF14FD72F1C840CFC2B07E81B1008C202A22B8Y83A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49068/3d0cac60971a511280cbba229d9b6329c07731f7/" TargetMode="External"/><Relationship Id="rId20" Type="http://schemas.openxmlformats.org/officeDocument/2006/relationships/hyperlink" Target="consultantplus://offline/ref=CACE5DD00670149E31D6CD80C47AE5D7173867FD41BF57060FB83FFCE6149182A45F7880247B6987F0542092D520150C30E91DADF72FB975nDY2I" TargetMode="External"/><Relationship Id="rId29" Type="http://schemas.openxmlformats.org/officeDocument/2006/relationships/hyperlink" Target="consultantplus://offline/ref=4BF9167C90D7952C1C1D9C57EBD324D3B4FB2A57CC643B905A7C311CFBE9B46E9411CF565A20BAF468993B7EE854B859C36C7617D4F30E47N0R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apru.ru/statja-11.23/" TargetMode="External"/><Relationship Id="rId11" Type="http://schemas.openxmlformats.org/officeDocument/2006/relationships/hyperlink" Target="http://www.consultant.ru/document/cons_doc_LAW_377743/afe9c8bc93b61441d8add299564d0e4d4d3c794f/" TargetMode="External"/><Relationship Id="rId24" Type="http://schemas.openxmlformats.org/officeDocument/2006/relationships/hyperlink" Target="consultantplus://offline/ref=4C5C3E99650FEA8F3F6F38CAECE7239A9EF2F54EF9822CAAE7E32735F618A86D6EDE1CA825EF14FD7DF1C840CFC2B07E81B1008C202A22B8Y83AB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7743/c674013e35a427b78aa0ff0017bdafb9f12b55ed/" TargetMode="External"/><Relationship Id="rId23" Type="http://schemas.openxmlformats.org/officeDocument/2006/relationships/hyperlink" Target="consultantplus://offline/ref=CACE5DD00670149E31D6CD80C47AE5D7173867FD41BF57060FB83FFCE6149182A45F7880247B6C81FF542092D520150C30E91DADF72FB975nDY2I" TargetMode="External"/><Relationship Id="rId28" Type="http://schemas.openxmlformats.org/officeDocument/2006/relationships/hyperlink" Target="consultantplus://offline/ref=096814B957BF804EDFB99D0C4017E72A2D2CE27432C7740CD574FC9EE0174493D7B07F840C41B1C2FE2A2375F9C8D004F5BAF2E55283EB46zER7I" TargetMode="External"/><Relationship Id="rId10" Type="http://schemas.openxmlformats.org/officeDocument/2006/relationships/hyperlink" Target="http://www.consultant.ru/document/cons_doc_LAW_349068/3d0cac60971a511280cbba229d9b6329c07731f7/" TargetMode="External"/><Relationship Id="rId19" Type="http://schemas.openxmlformats.org/officeDocument/2006/relationships/hyperlink" Target="consultantplus://offline/ref=CACE5DD00670149E31D6CD80C47AE5D7173867FD41BF57060FB83FFCE6149182A45F7880247B6987F4542092D520150C30E91DADF72FB975nDY2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672/6a73a7e61adc45fc3dd224c0e7194a1392c8b071/" TargetMode="External"/><Relationship Id="rId14" Type="http://schemas.openxmlformats.org/officeDocument/2006/relationships/hyperlink" Target="http://www.consultant.ru/document/cons_doc_LAW_377743/" TargetMode="External"/><Relationship Id="rId22" Type="http://schemas.openxmlformats.org/officeDocument/2006/relationships/hyperlink" Target="consultantplus://offline/ref=CACE5DD00670149E31D6CD80C47AE5D7173867FD41BF57060FB83FFCE6149182A45F7880247B6C81F2542092D520150C30E91DADF72FB975nDY2I" TargetMode="External"/><Relationship Id="rId27" Type="http://schemas.openxmlformats.org/officeDocument/2006/relationships/hyperlink" Target="consultantplus://offline/ref=5E526E4FC8F2C89B8D1CFAB001900BB4BB6D512D000C9FD87D717474A83ABF43F6FAC9DC377E5F61C70A063783B7FBAA3885EFE4E20F0CN5pCE" TargetMode="External"/><Relationship Id="rId30" Type="http://schemas.openxmlformats.org/officeDocument/2006/relationships/hyperlink" Target="consultantplus://offline/ref=06E187289184D962F0DA1470303D99264C51E2C9FB498FEDA40AF23ACD231EBD4A310E78641B731EC88B051A5E2A261F931E28603BCCd3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F0DC-ECA3-4CAF-B456-FE8C57EB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Шилина Юлия</dc:creator>
  <cp:keywords/>
  <dc:description/>
  <cp:lastModifiedBy>Шилина Юлия</cp:lastModifiedBy>
  <cp:revision>3</cp:revision>
  <dcterms:created xsi:type="dcterms:W3CDTF">2024-06-05T06:52:00Z</dcterms:created>
  <dcterms:modified xsi:type="dcterms:W3CDTF">2024-06-05T07:07:00Z</dcterms:modified>
</cp:coreProperties>
</file>